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1F3864" w:val="clear"/>
        <w:spacing w:after="0" w:before="320"/>
        <w:jc w:val="center"/>
      </w:pPr>
      <w:r>
        <w:rPr>
          <w:rFonts w:ascii="Arial" w:cs="Arial" w:eastAsia="Arial" w:hAnsi="Arial"/>
          <w:b/>
          <w:bCs/>
          <w:color w:val="FFFFFF"/>
          <w:sz w:val="52"/>
          <w:szCs w:val="52"/>
        </w:rPr>
        <w:t xml:space="preserve">SMARTnership Contract Analysis</w:t>
      </w:r>
    </w:p>
    <w:p>
      <w:pPr>
        <w:shd w:fill="1F3864" w:val="clear"/>
        <w:spacing w:after="0" w:before="0"/>
        <w:jc w:val="center"/>
      </w:pPr>
      <w:r>
        <w:rPr>
          <w:rFonts w:ascii="Arial" w:cs="Arial" w:eastAsia="Arial" w:hAnsi="Arial"/>
          <w:color w:val="BDD7EE"/>
          <w:sz w:val="26"/>
          <w:szCs w:val="26"/>
        </w:rPr>
        <w:t xml:space="preserve">Strategic Battery Module Supply Agreement</w:t>
      </w:r>
    </w:p>
    <w:p>
      <w:pPr>
        <w:shd w:fill="1F3864" w:val="clear"/>
        <w:spacing w:after="0" w:before="0"/>
        <w:jc w:val="center"/>
      </w:pPr>
      <w:r>
        <w:rPr>
          <w:rFonts w:ascii="Arial" w:cs="Arial" w:eastAsia="Arial" w:hAnsi="Arial"/>
          <w:color w:val="BDD7EE"/>
          <w:sz w:val="26"/>
          <w:szCs w:val="26"/>
        </w:rPr>
        <w:t xml:space="preserve">Aurora Motors Corporation  ·  Voltatek Energy Systems Inc.</w:t>
      </w:r>
    </w:p>
    <w:p>
      <w:pPr>
        <w:shd w:fill="1F3864" w:val="clear"/>
        <w:spacing w:after="320" w:before="0"/>
        <w:jc w:val="center"/>
      </w:pPr>
      <w:r>
        <w:rPr>
          <w:rFonts w:ascii="Arial" w:cs="Arial" w:eastAsia="Arial" w:hAnsi="Arial"/>
          <w:b/>
          <w:bCs/>
          <w:color w:val="C9A227"/>
          <w:sz w:val="20"/>
          <w:szCs w:val="20"/>
        </w:rPr>
        <w:t xml:space="preserve">Identifying positional thinking — unlocking collaborative value</w:t>
      </w:r>
    </w:p>
    <w:p>
      <w:pPr>
        <w:spacing w:after="0" w:before="80"/>
      </w:pPr>
    </w:p>
    <w:p>
      <w:pPr>
        <w:shd w:fill="1F3864" w:val="clear"/>
        <w:spacing w:after="0" w:before="380"/>
        <w:ind w:left="160" w:right="160"/>
      </w:pPr>
      <w:r>
        <w:rPr>
          <w:rFonts w:ascii="Arial" w:cs="Arial" w:eastAsia="Arial" w:hAnsi="Arial"/>
          <w:b/>
          <w:bCs/>
          <w:color w:val="FFFFFF"/>
          <w:sz w:val="26"/>
          <w:szCs w:val="26"/>
        </w:rPr>
        <w:t xml:space="preserve">INTRODUCTION: THE SMARTNERSHIP LENS</w:t>
      </w:r>
    </w:p>
    <w:p>
      <w:pPr>
        <w:spacing w:after="0" w:before="160"/>
      </w:pPr>
    </w:p>
    <w:p>
      <w:pPr>
        <w:spacing w:after="60" w:before="60"/>
      </w:pPr>
      <w:r>
        <w:rPr>
          <w:rFonts w:ascii="Arial" w:cs="Arial" w:eastAsia="Arial" w:hAnsi="Arial"/>
          <w:color w:val="595959"/>
          <w:sz w:val="20"/>
          <w:szCs w:val="20"/>
        </w:rPr>
        <w:t xml:space="preserve">SMARTnership negotiation moves beyond the traditional win-lose paradigm. Rather than treating a contract as a zero-sum division of risk and reward, SMARTnership asks: where can both parties create more value together than either could alone?</w:t>
      </w:r>
    </w:p>
    <w:p>
      <w:pPr>
        <w:spacing w:after="0" w:before="60"/>
      </w:pPr>
    </w:p>
    <w:p>
      <w:pPr>
        <w:spacing w:after="60" w:before="60"/>
      </w:pPr>
      <w:r>
        <w:rPr>
          <w:rFonts w:ascii="Arial" w:cs="Arial" w:eastAsia="Arial" w:hAnsi="Arial"/>
          <w:color w:val="595959"/>
          <w:sz w:val="20"/>
          <w:szCs w:val="20"/>
        </w:rPr>
        <w:t xml:space="preserve">This analysis reviews the Battery Module Supply Agreement and identifies clauses that reflect positional negotiation thinking — characterized by one-sided risk transfer, price pressure mechanisms, information asymmetry, and control-oriented language. For each finding, a SMARTnership reframe is proposed: a shift from positional defense to collaborative value creation.</w:t>
      </w:r>
    </w:p>
    <w:p>
      <w:pPr>
        <w:spacing w:after="0" w:before="60"/>
      </w:pPr>
    </w:p>
    <w:p>
      <w:pPr>
        <w:spacing w:after="60" w:before="60"/>
      </w:pPr>
      <w:r>
        <w:rPr>
          <w:rFonts w:ascii="Arial" w:cs="Arial" w:eastAsia="Arial" w:hAnsi="Arial"/>
          <w:color w:val="595959"/>
          <w:sz w:val="20"/>
          <w:szCs w:val="20"/>
        </w:rPr>
        <w:t xml:space="preserve">The contract is a USD 400M, 3-year relationship between two companies whose operational success is deeply interdependent. That interdependence is the foundation on which a SMARTnership approach should be built.</w:t>
      </w:r>
    </w:p>
    <w:p>
      <w:pPr>
        <w:spacing w:after="0" w:before="120"/>
      </w:pPr>
    </w:p>
    <w:p>
      <w:pPr>
        <w:shd w:fill="1F3864" w:val="clear"/>
        <w:spacing w:after="0" w:before="380"/>
        <w:ind w:left="160" w:right="160"/>
      </w:pPr>
      <w:r>
        <w:rPr>
          <w:rFonts w:ascii="Arial" w:cs="Arial" w:eastAsia="Arial" w:hAnsi="Arial"/>
          <w:b/>
          <w:bCs/>
          <w:color w:val="FFFFFF"/>
          <w:sz w:val="26"/>
          <w:szCs w:val="26"/>
        </w:rPr>
        <w:t xml:space="preserve">AT-A-GLANCE SCORECARD</w:t>
      </w:r>
    </w:p>
    <w:p>
      <w:pPr>
        <w:spacing w:after="0" w:before="160"/>
      </w:pPr>
    </w:p>
    <w:p>
      <w:pPr>
        <w:spacing w:after="60" w:before="60"/>
      </w:pPr>
      <w:r>
        <w:rPr>
          <w:rFonts w:ascii="Arial" w:cs="Arial" w:eastAsia="Arial" w:hAnsi="Arial"/>
          <w:color w:val="595959"/>
          <w:sz w:val="20"/>
          <w:szCs w:val="20"/>
        </w:rPr>
        <w:t xml:space="preserve">The table below rates each major commercial area on its current positional bias and SMARTnership transformation potential.</w:t>
      </w:r>
    </w:p>
    <w:p>
      <w:pPr>
        <w:spacing w:after="0" w:before="80"/>
      </w:pP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2400"/>
        <w:gridCol w:w="2400"/>
        <w:gridCol w:w="2400"/>
        <w:gridCol w:w="2000"/>
      </w:tblGrid>
      <w:tr>
        <w:tc>
          <w:tcPr>
            <w:tcW w:type="dxa" w:w="2400"/>
            <w:tcBorders>
              <w:top w:val="single" w:color="BFBFBF" w:sz="1"/>
              <w:left w:val="single" w:color="BFBFBF" w:sz="1"/>
              <w:bottom w:val="single" w:color="BFBFBF" w:sz="1"/>
              <w:right w:val="single" w:color="BFBFBF" w:sz="1"/>
            </w:tcBorders>
            <w:shd w:fill="2E75B6" w:val="clear"/>
            <w:tcMar>
              <w:top w:type="dxa" w:w="80"/>
              <w:left w:type="dxa" w:w="120"/>
              <w:bottom w:type="dxa" w:w="80"/>
              <w:right w:type="dxa" w:w="120"/>
            </w:tcMar>
          </w:tcPr>
          <w:p>
            <w:r>
              <w:rPr>
                <w:rFonts w:ascii="Arial" w:cs="Arial" w:eastAsia="Arial" w:hAnsi="Arial"/>
                <w:b/>
                <w:bCs/>
                <w:color w:val="FFFFFF"/>
                <w:sz w:val="18"/>
                <w:szCs w:val="18"/>
              </w:rPr>
              <w:t xml:space="preserve">Area</w:t>
            </w:r>
          </w:p>
        </w:tc>
        <w:tc>
          <w:tcPr>
            <w:tcW w:type="dxa" w:w="2400"/>
            <w:tcBorders>
              <w:top w:val="single" w:color="BFBFBF" w:sz="1"/>
              <w:left w:val="single" w:color="BFBFBF" w:sz="1"/>
              <w:bottom w:val="single" w:color="BFBFBF" w:sz="1"/>
              <w:right w:val="single" w:color="BFBFBF" w:sz="1"/>
            </w:tcBorders>
            <w:shd w:fill="2E75B6" w:val="clear"/>
            <w:tcMar>
              <w:top w:type="dxa" w:w="80"/>
              <w:left w:type="dxa" w:w="120"/>
              <w:bottom w:type="dxa" w:w="80"/>
              <w:right w:type="dxa" w:w="120"/>
            </w:tcMar>
          </w:tcPr>
          <w:p>
            <w:r>
              <w:rPr>
                <w:rFonts w:ascii="Arial" w:cs="Arial" w:eastAsia="Arial" w:hAnsi="Arial"/>
                <w:b/>
                <w:bCs/>
                <w:color w:val="FFFFFF"/>
                <w:sz w:val="18"/>
                <w:szCs w:val="18"/>
              </w:rPr>
              <w:t xml:space="preserve">Positional Bias</w:t>
            </w:r>
          </w:p>
        </w:tc>
        <w:tc>
          <w:tcPr>
            <w:tcW w:type="dxa" w:w="2400"/>
            <w:tcBorders>
              <w:top w:val="single" w:color="BFBFBF" w:sz="1"/>
              <w:left w:val="single" w:color="BFBFBF" w:sz="1"/>
              <w:bottom w:val="single" w:color="BFBFBF" w:sz="1"/>
              <w:right w:val="single" w:color="BFBFBF" w:sz="1"/>
            </w:tcBorders>
            <w:shd w:fill="2E75B6" w:val="clear"/>
            <w:tcMar>
              <w:top w:type="dxa" w:w="80"/>
              <w:left w:type="dxa" w:w="120"/>
              <w:bottom w:type="dxa" w:w="80"/>
              <w:right w:type="dxa" w:w="120"/>
            </w:tcMar>
          </w:tcPr>
          <w:p>
            <w:r>
              <w:rPr>
                <w:rFonts w:ascii="Arial" w:cs="Arial" w:eastAsia="Arial" w:hAnsi="Arial"/>
                <w:b/>
                <w:bCs/>
                <w:color w:val="FFFFFF"/>
                <w:sz w:val="18"/>
                <w:szCs w:val="18"/>
              </w:rPr>
              <w:t xml:space="preserve">SMARTnership Potential</w:t>
            </w:r>
          </w:p>
        </w:tc>
        <w:tc>
          <w:tcPr>
            <w:tcW w:type="dxa" w:w="2000"/>
            <w:tcBorders>
              <w:top w:val="single" w:color="BFBFBF" w:sz="1"/>
              <w:left w:val="single" w:color="BFBFBF" w:sz="1"/>
              <w:bottom w:val="single" w:color="BFBFBF" w:sz="1"/>
              <w:right w:val="single" w:color="BFBFBF" w:sz="1"/>
            </w:tcBorders>
            <w:shd w:fill="2E75B6" w:val="clear"/>
            <w:tcMar>
              <w:top w:type="dxa" w:w="80"/>
              <w:left w:type="dxa" w:w="120"/>
              <w:bottom w:type="dxa" w:w="80"/>
              <w:right w:type="dxa" w:w="120"/>
            </w:tcMar>
          </w:tcPr>
          <w:p>
            <w:r>
              <w:rPr>
                <w:rFonts w:ascii="Arial" w:cs="Arial" w:eastAsia="Arial" w:hAnsi="Arial"/>
                <w:b/>
                <w:bCs/>
                <w:color w:val="FFFFFF"/>
                <w:sz w:val="18"/>
                <w:szCs w:val="18"/>
              </w:rPr>
              <w:t xml:space="preserve">Priority</w:t>
            </w:r>
          </w:p>
        </w:tc>
      </w:tr>
      <w:tr>
        <w:tc>
          <w:tcPr>
            <w:tcW w:type="dxa" w:w="2400"/>
            <w:tcBorders>
              <w:top w:val="single" w:color="BFBFBF" w:sz="1"/>
              <w:left w:val="single" w:color="BFBFBF" w:sz="1"/>
              <w:bottom w:val="single" w:color="BFBFBF" w:sz="1"/>
              <w:right w:val="single" w:color="BFBFBF" w:sz="1"/>
            </w:tcBorders>
            <w:shd w:fill="F2F2F2" w:val="clear"/>
            <w:tcMar>
              <w:top w:type="dxa" w:w="80"/>
              <w:left w:type="dxa" w:w="120"/>
              <w:bottom w:type="dxa" w:w="80"/>
              <w:right w:type="dxa" w:w="120"/>
            </w:tcMar>
          </w:tcPr>
          <w:p>
            <w:r>
              <w:rPr>
                <w:rFonts w:ascii="Arial" w:cs="Arial" w:eastAsia="Arial" w:hAnsi="Arial"/>
                <w:b/>
                <w:bCs/>
                <w:sz w:val="18"/>
                <w:szCs w:val="18"/>
              </w:rPr>
              <w:t xml:space="preserve">Pricing &amp; Adjustment</w:t>
            </w:r>
          </w:p>
        </w:tc>
        <w:tc>
          <w:tcPr>
            <w:tcW w:type="dxa" w:w="2400"/>
            <w:tcBorders>
              <w:top w:val="single" w:color="BFBFBF" w:sz="1"/>
              <w:left w:val="single" w:color="BFBFBF" w:sz="1"/>
              <w:bottom w:val="single" w:color="BFBFBF" w:sz="1"/>
              <w:right w:val="single" w:color="BFBFBF" w:sz="1"/>
            </w:tcBorders>
            <w:shd w:fill="FFF2CC" w:val="clear"/>
            <w:tcMar>
              <w:top w:type="dxa" w:w="80"/>
              <w:left w:type="dxa" w:w="120"/>
              <w:bottom w:type="dxa" w:w="80"/>
              <w:right w:type="dxa" w:w="120"/>
            </w:tcMar>
          </w:tcPr>
          <w:p>
            <w:r>
              <w:rPr>
                <w:rFonts w:ascii="Arial" w:cs="Arial" w:eastAsia="Arial" w:hAnsi="Arial"/>
                <w:b/>
                <w:bCs/>
                <w:color w:val="C00000"/>
                <w:sz w:val="18"/>
                <w:szCs w:val="18"/>
              </w:rPr>
              <w:t xml:space="preserve">High</w:t>
            </w:r>
          </w:p>
        </w:tc>
        <w:tc>
          <w:tcPr>
            <w:tcW w:type="dxa" w:w="2400"/>
            <w:tcBorders>
              <w:top w:val="single" w:color="BFBFBF" w:sz="1"/>
              <w:left w:val="single" w:color="BFBFBF" w:sz="1"/>
              <w:bottom w:val="single" w:color="BFBFBF" w:sz="1"/>
              <w:right w:val="single" w:color="BFBFBF" w:sz="1"/>
            </w:tcBorders>
            <w:shd w:fill="EBF1DE" w:val="clear"/>
            <w:tcMar>
              <w:top w:type="dxa" w:w="80"/>
              <w:left w:type="dxa" w:w="120"/>
              <w:bottom w:type="dxa" w:w="80"/>
              <w:right w:type="dxa" w:w="120"/>
            </w:tcMar>
          </w:tcPr>
          <w:p>
            <w:r>
              <w:rPr>
                <w:rFonts w:ascii="Arial" w:cs="Arial" w:eastAsia="Arial" w:hAnsi="Arial"/>
                <w:b/>
                <w:bCs/>
                <w:color w:val="375623"/>
                <w:sz w:val="18"/>
                <w:szCs w:val="18"/>
              </w:rPr>
              <w:t xml:space="preserve">High</w:t>
            </w:r>
          </w:p>
        </w:tc>
        <w:tc>
          <w:tcPr>
            <w:tcW w:type="dxa" w:w="2000"/>
            <w:tcBorders>
              <w:top w:val="single" w:color="BFBFBF" w:sz="1"/>
              <w:left w:val="single" w:color="BFBFBF" w:sz="1"/>
              <w:bottom w:val="single" w:color="BFBFBF" w:sz="1"/>
              <w:right w:val="single" w:color="BFBFBF" w:sz="1"/>
            </w:tcBorders>
            <w:shd w:fill="FFFFFF" w:val="clear"/>
            <w:tcMar>
              <w:top w:type="dxa" w:w="80"/>
              <w:left w:type="dxa" w:w="120"/>
              <w:bottom w:type="dxa" w:w="80"/>
              <w:right w:type="dxa" w:w="120"/>
            </w:tcMar>
          </w:tcPr>
          <w:p>
            <w:r>
              <w:rPr>
                <w:rFonts w:ascii="Arial" w:cs="Arial" w:eastAsia="Arial" w:hAnsi="Arial"/>
                <w:b/>
                <w:bCs/>
                <w:color w:val="C00000"/>
                <w:sz w:val="18"/>
                <w:szCs w:val="18"/>
              </w:rPr>
              <w:t xml:space="preserve">Critical</w:t>
            </w:r>
          </w:p>
        </w:tc>
      </w:tr>
      <w:tr>
        <w:tc>
          <w:tcPr>
            <w:tcW w:type="dxa" w:w="2400"/>
            <w:tcBorders>
              <w:top w:val="single" w:color="BFBFBF" w:sz="1"/>
              <w:left w:val="single" w:color="BFBFBF" w:sz="1"/>
              <w:bottom w:val="single" w:color="BFBFBF" w:sz="1"/>
              <w:right w:val="single" w:color="BFBFBF" w:sz="1"/>
            </w:tcBorders>
            <w:shd w:fill="F2F2F2" w:val="clear"/>
            <w:tcMar>
              <w:top w:type="dxa" w:w="80"/>
              <w:left w:type="dxa" w:w="120"/>
              <w:bottom w:type="dxa" w:w="80"/>
              <w:right w:type="dxa" w:w="120"/>
            </w:tcMar>
          </w:tcPr>
          <w:p>
            <w:r>
              <w:rPr>
                <w:rFonts w:ascii="Arial" w:cs="Arial" w:eastAsia="Arial" w:hAnsi="Arial"/>
                <w:b/>
                <w:bCs/>
                <w:sz w:val="18"/>
                <w:szCs w:val="18"/>
              </w:rPr>
              <w:t xml:space="preserve">Forecasting</w:t>
            </w:r>
          </w:p>
        </w:tc>
        <w:tc>
          <w:tcPr>
            <w:tcW w:type="dxa" w:w="2400"/>
            <w:tcBorders>
              <w:top w:val="single" w:color="BFBFBF" w:sz="1"/>
              <w:left w:val="single" w:color="BFBFBF" w:sz="1"/>
              <w:bottom w:val="single" w:color="BFBFBF" w:sz="1"/>
              <w:right w:val="single" w:color="BFBFBF" w:sz="1"/>
            </w:tcBorders>
            <w:shd w:fill="FFF2CC" w:val="clear"/>
            <w:tcMar>
              <w:top w:type="dxa" w:w="80"/>
              <w:left w:type="dxa" w:w="120"/>
              <w:bottom w:type="dxa" w:w="80"/>
              <w:right w:type="dxa" w:w="120"/>
            </w:tcMar>
          </w:tcPr>
          <w:p>
            <w:r>
              <w:rPr>
                <w:rFonts w:ascii="Arial" w:cs="Arial" w:eastAsia="Arial" w:hAnsi="Arial"/>
                <w:b/>
                <w:bCs/>
                <w:color w:val="C9A227"/>
                <w:sz w:val="18"/>
                <w:szCs w:val="18"/>
              </w:rPr>
              <w:t xml:space="preserve">Medium</w:t>
            </w:r>
          </w:p>
        </w:tc>
        <w:tc>
          <w:tcPr>
            <w:tcW w:type="dxa" w:w="2400"/>
            <w:tcBorders>
              <w:top w:val="single" w:color="BFBFBF" w:sz="1"/>
              <w:left w:val="single" w:color="BFBFBF" w:sz="1"/>
              <w:bottom w:val="single" w:color="BFBFBF" w:sz="1"/>
              <w:right w:val="single" w:color="BFBFBF" w:sz="1"/>
            </w:tcBorders>
            <w:shd w:fill="EBF1DE" w:val="clear"/>
            <w:tcMar>
              <w:top w:type="dxa" w:w="80"/>
              <w:left w:type="dxa" w:w="120"/>
              <w:bottom w:type="dxa" w:w="80"/>
              <w:right w:type="dxa" w:w="120"/>
            </w:tcMar>
          </w:tcPr>
          <w:p>
            <w:r>
              <w:rPr>
                <w:rFonts w:ascii="Arial" w:cs="Arial" w:eastAsia="Arial" w:hAnsi="Arial"/>
                <w:b/>
                <w:bCs/>
                <w:color w:val="375623"/>
                <w:sz w:val="18"/>
                <w:szCs w:val="18"/>
              </w:rPr>
              <w:t xml:space="preserve">High</w:t>
            </w:r>
          </w:p>
        </w:tc>
        <w:tc>
          <w:tcPr>
            <w:tcW w:type="dxa" w:w="2000"/>
            <w:tcBorders>
              <w:top w:val="single" w:color="BFBFBF" w:sz="1"/>
              <w:left w:val="single" w:color="BFBFBF" w:sz="1"/>
              <w:bottom w:val="single" w:color="BFBFBF" w:sz="1"/>
              <w:right w:val="single" w:color="BFBFBF" w:sz="1"/>
            </w:tcBorders>
            <w:shd w:fill="FFFFFF" w:val="clear"/>
            <w:tcMar>
              <w:top w:type="dxa" w:w="80"/>
              <w:left w:type="dxa" w:w="120"/>
              <w:bottom w:type="dxa" w:w="80"/>
              <w:right w:type="dxa" w:w="120"/>
            </w:tcMar>
          </w:tcPr>
          <w:p>
            <w:r>
              <w:rPr>
                <w:rFonts w:ascii="Arial" w:cs="Arial" w:eastAsia="Arial" w:hAnsi="Arial"/>
                <w:b/>
                <w:bCs/>
                <w:color w:val="C9A227"/>
                <w:sz w:val="18"/>
                <w:szCs w:val="18"/>
              </w:rPr>
              <w:t xml:space="preserve">High</w:t>
            </w:r>
          </w:p>
        </w:tc>
      </w:tr>
      <w:tr>
        <w:tc>
          <w:tcPr>
            <w:tcW w:type="dxa" w:w="2400"/>
            <w:tcBorders>
              <w:top w:val="single" w:color="BFBFBF" w:sz="1"/>
              <w:left w:val="single" w:color="BFBFBF" w:sz="1"/>
              <w:bottom w:val="single" w:color="BFBFBF" w:sz="1"/>
              <w:right w:val="single" w:color="BFBFBF" w:sz="1"/>
            </w:tcBorders>
            <w:shd w:fill="F2F2F2" w:val="clear"/>
            <w:tcMar>
              <w:top w:type="dxa" w:w="80"/>
              <w:left w:type="dxa" w:w="120"/>
              <w:bottom w:type="dxa" w:w="80"/>
              <w:right w:type="dxa" w:w="120"/>
            </w:tcMar>
          </w:tcPr>
          <w:p>
            <w:r>
              <w:rPr>
                <w:rFonts w:ascii="Arial" w:cs="Arial" w:eastAsia="Arial" w:hAnsi="Arial"/>
                <w:b/>
                <w:bCs/>
                <w:sz w:val="18"/>
                <w:szCs w:val="18"/>
              </w:rPr>
              <w:t xml:space="preserve">Volume Commitment</w:t>
            </w:r>
          </w:p>
        </w:tc>
        <w:tc>
          <w:tcPr>
            <w:tcW w:type="dxa" w:w="2400"/>
            <w:tcBorders>
              <w:top w:val="single" w:color="BFBFBF" w:sz="1"/>
              <w:left w:val="single" w:color="BFBFBF" w:sz="1"/>
              <w:bottom w:val="single" w:color="BFBFBF" w:sz="1"/>
              <w:right w:val="single" w:color="BFBFBF" w:sz="1"/>
            </w:tcBorders>
            <w:shd w:fill="FFF2CC" w:val="clear"/>
            <w:tcMar>
              <w:top w:type="dxa" w:w="80"/>
              <w:left w:type="dxa" w:w="120"/>
              <w:bottom w:type="dxa" w:w="80"/>
              <w:right w:type="dxa" w:w="120"/>
            </w:tcMar>
          </w:tcPr>
          <w:p>
            <w:r>
              <w:rPr>
                <w:rFonts w:ascii="Arial" w:cs="Arial" w:eastAsia="Arial" w:hAnsi="Arial"/>
                <w:b/>
                <w:bCs/>
                <w:color w:val="C00000"/>
                <w:sz w:val="18"/>
                <w:szCs w:val="18"/>
              </w:rPr>
              <w:t xml:space="preserve">High</w:t>
            </w:r>
          </w:p>
        </w:tc>
        <w:tc>
          <w:tcPr>
            <w:tcW w:type="dxa" w:w="2400"/>
            <w:tcBorders>
              <w:top w:val="single" w:color="BFBFBF" w:sz="1"/>
              <w:left w:val="single" w:color="BFBFBF" w:sz="1"/>
              <w:bottom w:val="single" w:color="BFBFBF" w:sz="1"/>
              <w:right w:val="single" w:color="BFBFBF" w:sz="1"/>
            </w:tcBorders>
            <w:shd w:fill="EBF1DE" w:val="clear"/>
            <w:tcMar>
              <w:top w:type="dxa" w:w="80"/>
              <w:left w:type="dxa" w:w="120"/>
              <w:bottom w:type="dxa" w:w="80"/>
              <w:right w:type="dxa" w:w="120"/>
            </w:tcMar>
          </w:tcPr>
          <w:p>
            <w:r>
              <w:rPr>
                <w:rFonts w:ascii="Arial" w:cs="Arial" w:eastAsia="Arial" w:hAnsi="Arial"/>
                <w:b/>
                <w:bCs/>
                <w:color w:val="375623"/>
                <w:sz w:val="18"/>
                <w:szCs w:val="18"/>
              </w:rPr>
              <w:t xml:space="preserve">High</w:t>
            </w:r>
          </w:p>
        </w:tc>
        <w:tc>
          <w:tcPr>
            <w:tcW w:type="dxa" w:w="2000"/>
            <w:tcBorders>
              <w:top w:val="single" w:color="BFBFBF" w:sz="1"/>
              <w:left w:val="single" w:color="BFBFBF" w:sz="1"/>
              <w:bottom w:val="single" w:color="BFBFBF" w:sz="1"/>
              <w:right w:val="single" w:color="BFBFBF" w:sz="1"/>
            </w:tcBorders>
            <w:shd w:fill="FFFFFF" w:val="clear"/>
            <w:tcMar>
              <w:top w:type="dxa" w:w="80"/>
              <w:left w:type="dxa" w:w="120"/>
              <w:bottom w:type="dxa" w:w="80"/>
              <w:right w:type="dxa" w:w="120"/>
            </w:tcMar>
          </w:tcPr>
          <w:p>
            <w:r>
              <w:rPr>
                <w:rFonts w:ascii="Arial" w:cs="Arial" w:eastAsia="Arial" w:hAnsi="Arial"/>
                <w:b/>
                <w:bCs/>
                <w:color w:val="C00000"/>
                <w:sz w:val="18"/>
                <w:szCs w:val="18"/>
              </w:rPr>
              <w:t xml:space="preserve">Critical</w:t>
            </w:r>
          </w:p>
        </w:tc>
      </w:tr>
      <w:tr>
        <w:tc>
          <w:tcPr>
            <w:tcW w:type="dxa" w:w="2400"/>
            <w:tcBorders>
              <w:top w:val="single" w:color="BFBFBF" w:sz="1"/>
              <w:left w:val="single" w:color="BFBFBF" w:sz="1"/>
              <w:bottom w:val="single" w:color="BFBFBF" w:sz="1"/>
              <w:right w:val="single" w:color="BFBFBF" w:sz="1"/>
            </w:tcBorders>
            <w:shd w:fill="F2F2F2" w:val="clear"/>
            <w:tcMar>
              <w:top w:type="dxa" w:w="80"/>
              <w:left w:type="dxa" w:w="120"/>
              <w:bottom w:type="dxa" w:w="80"/>
              <w:right w:type="dxa" w:w="120"/>
            </w:tcMar>
          </w:tcPr>
          <w:p>
            <w:r>
              <w:rPr>
                <w:rFonts w:ascii="Arial" w:cs="Arial" w:eastAsia="Arial" w:hAnsi="Arial"/>
                <w:b/>
                <w:bCs/>
                <w:sz w:val="18"/>
                <w:szCs w:val="18"/>
              </w:rPr>
              <w:t xml:space="preserve">Logistics &amp; Risk</w:t>
            </w:r>
          </w:p>
        </w:tc>
        <w:tc>
          <w:tcPr>
            <w:tcW w:type="dxa" w:w="2400"/>
            <w:tcBorders>
              <w:top w:val="single" w:color="BFBFBF" w:sz="1"/>
              <w:left w:val="single" w:color="BFBFBF" w:sz="1"/>
              <w:bottom w:val="single" w:color="BFBFBF" w:sz="1"/>
              <w:right w:val="single" w:color="BFBFBF" w:sz="1"/>
            </w:tcBorders>
            <w:shd w:fill="FFF2CC" w:val="clear"/>
            <w:tcMar>
              <w:top w:type="dxa" w:w="80"/>
              <w:left w:type="dxa" w:w="120"/>
              <w:bottom w:type="dxa" w:w="80"/>
              <w:right w:type="dxa" w:w="120"/>
            </w:tcMar>
          </w:tcPr>
          <w:p>
            <w:r>
              <w:rPr>
                <w:rFonts w:ascii="Arial" w:cs="Arial" w:eastAsia="Arial" w:hAnsi="Arial"/>
                <w:b/>
                <w:bCs/>
                <w:color w:val="C00000"/>
                <w:sz w:val="18"/>
                <w:szCs w:val="18"/>
              </w:rPr>
              <w:t xml:space="preserve">High</w:t>
            </w:r>
          </w:p>
        </w:tc>
        <w:tc>
          <w:tcPr>
            <w:tcW w:type="dxa" w:w="2400"/>
            <w:tcBorders>
              <w:top w:val="single" w:color="BFBFBF" w:sz="1"/>
              <w:left w:val="single" w:color="BFBFBF" w:sz="1"/>
              <w:bottom w:val="single" w:color="BFBFBF" w:sz="1"/>
              <w:right w:val="single" w:color="BFBFBF" w:sz="1"/>
            </w:tcBorders>
            <w:shd w:fill="EBF1DE" w:val="clear"/>
            <w:tcMar>
              <w:top w:type="dxa" w:w="80"/>
              <w:left w:type="dxa" w:w="120"/>
              <w:bottom w:type="dxa" w:w="80"/>
              <w:right w:type="dxa" w:w="120"/>
            </w:tcMar>
          </w:tcPr>
          <w:p>
            <w:r>
              <w:rPr>
                <w:rFonts w:ascii="Arial" w:cs="Arial" w:eastAsia="Arial" w:hAnsi="Arial"/>
                <w:b/>
                <w:bCs/>
                <w:color w:val="2E75B6"/>
                <w:sz w:val="18"/>
                <w:szCs w:val="18"/>
              </w:rPr>
              <w:t xml:space="preserve">Medium</w:t>
            </w:r>
          </w:p>
        </w:tc>
        <w:tc>
          <w:tcPr>
            <w:tcW w:type="dxa" w:w="2000"/>
            <w:tcBorders>
              <w:top w:val="single" w:color="BFBFBF" w:sz="1"/>
              <w:left w:val="single" w:color="BFBFBF" w:sz="1"/>
              <w:bottom w:val="single" w:color="BFBFBF" w:sz="1"/>
              <w:right w:val="single" w:color="BFBFBF" w:sz="1"/>
            </w:tcBorders>
            <w:shd w:fill="FFFFFF" w:val="clear"/>
            <w:tcMar>
              <w:top w:type="dxa" w:w="80"/>
              <w:left w:type="dxa" w:w="120"/>
              <w:bottom w:type="dxa" w:w="80"/>
              <w:right w:type="dxa" w:w="120"/>
            </w:tcMar>
          </w:tcPr>
          <w:p>
            <w:r>
              <w:rPr>
                <w:rFonts w:ascii="Arial" w:cs="Arial" w:eastAsia="Arial" w:hAnsi="Arial"/>
                <w:b/>
                <w:bCs/>
                <w:color w:val="C9A227"/>
                <w:sz w:val="18"/>
                <w:szCs w:val="18"/>
              </w:rPr>
              <w:t xml:space="preserve">High</w:t>
            </w:r>
          </w:p>
        </w:tc>
      </w:tr>
      <w:tr>
        <w:tc>
          <w:tcPr>
            <w:tcW w:type="dxa" w:w="2400"/>
            <w:tcBorders>
              <w:top w:val="single" w:color="BFBFBF" w:sz="1"/>
              <w:left w:val="single" w:color="BFBFBF" w:sz="1"/>
              <w:bottom w:val="single" w:color="BFBFBF" w:sz="1"/>
              <w:right w:val="single" w:color="BFBFBF" w:sz="1"/>
            </w:tcBorders>
            <w:shd w:fill="F2F2F2" w:val="clear"/>
            <w:tcMar>
              <w:top w:type="dxa" w:w="80"/>
              <w:left w:type="dxa" w:w="120"/>
              <w:bottom w:type="dxa" w:w="80"/>
              <w:right w:type="dxa" w:w="120"/>
            </w:tcMar>
          </w:tcPr>
          <w:p>
            <w:r>
              <w:rPr>
                <w:rFonts w:ascii="Arial" w:cs="Arial" w:eastAsia="Arial" w:hAnsi="Arial"/>
                <w:b/>
                <w:bCs/>
                <w:sz w:val="18"/>
                <w:szCs w:val="18"/>
              </w:rPr>
              <w:t xml:space="preserve">Inventory</w:t>
            </w:r>
          </w:p>
        </w:tc>
        <w:tc>
          <w:tcPr>
            <w:tcW w:type="dxa" w:w="2400"/>
            <w:tcBorders>
              <w:top w:val="single" w:color="BFBFBF" w:sz="1"/>
              <w:left w:val="single" w:color="BFBFBF" w:sz="1"/>
              <w:bottom w:val="single" w:color="BFBFBF" w:sz="1"/>
              <w:right w:val="single" w:color="BFBFBF" w:sz="1"/>
            </w:tcBorders>
            <w:shd w:fill="FFF2CC" w:val="clear"/>
            <w:tcMar>
              <w:top w:type="dxa" w:w="80"/>
              <w:left w:type="dxa" w:w="120"/>
              <w:bottom w:type="dxa" w:w="80"/>
              <w:right w:type="dxa" w:w="120"/>
            </w:tcMar>
          </w:tcPr>
          <w:p>
            <w:r>
              <w:rPr>
                <w:rFonts w:ascii="Arial" w:cs="Arial" w:eastAsia="Arial" w:hAnsi="Arial"/>
                <w:b/>
                <w:bCs/>
                <w:color w:val="C9A227"/>
                <w:sz w:val="18"/>
                <w:szCs w:val="18"/>
              </w:rPr>
              <w:t xml:space="preserve">Medium</w:t>
            </w:r>
          </w:p>
        </w:tc>
        <w:tc>
          <w:tcPr>
            <w:tcW w:type="dxa" w:w="2400"/>
            <w:tcBorders>
              <w:top w:val="single" w:color="BFBFBF" w:sz="1"/>
              <w:left w:val="single" w:color="BFBFBF" w:sz="1"/>
              <w:bottom w:val="single" w:color="BFBFBF" w:sz="1"/>
              <w:right w:val="single" w:color="BFBFBF" w:sz="1"/>
            </w:tcBorders>
            <w:shd w:fill="EBF1DE" w:val="clear"/>
            <w:tcMar>
              <w:top w:type="dxa" w:w="80"/>
              <w:left w:type="dxa" w:w="120"/>
              <w:bottom w:type="dxa" w:w="80"/>
              <w:right w:type="dxa" w:w="120"/>
            </w:tcMar>
          </w:tcPr>
          <w:p>
            <w:r>
              <w:rPr>
                <w:rFonts w:ascii="Arial" w:cs="Arial" w:eastAsia="Arial" w:hAnsi="Arial"/>
                <w:b/>
                <w:bCs/>
                <w:color w:val="2E75B6"/>
                <w:sz w:val="18"/>
                <w:szCs w:val="18"/>
              </w:rPr>
              <w:t xml:space="preserve">Medium</w:t>
            </w:r>
          </w:p>
        </w:tc>
        <w:tc>
          <w:tcPr>
            <w:tcW w:type="dxa" w:w="2000"/>
            <w:tcBorders>
              <w:top w:val="single" w:color="BFBFBF" w:sz="1"/>
              <w:left w:val="single" w:color="BFBFBF" w:sz="1"/>
              <w:bottom w:val="single" w:color="BFBFBF" w:sz="1"/>
              <w:right w:val="single" w:color="BFBFBF" w:sz="1"/>
            </w:tcBorders>
            <w:shd w:fill="FFFFFF" w:val="clear"/>
            <w:tcMar>
              <w:top w:type="dxa" w:w="80"/>
              <w:left w:type="dxa" w:w="120"/>
              <w:bottom w:type="dxa" w:w="80"/>
              <w:right w:type="dxa" w:w="120"/>
            </w:tcMar>
          </w:tcPr>
          <w:p>
            <w:r>
              <w:rPr>
                <w:rFonts w:ascii="Arial" w:cs="Arial" w:eastAsia="Arial" w:hAnsi="Arial"/>
                <w:b/>
                <w:bCs/>
                <w:color w:val="C9A227"/>
                <w:sz w:val="18"/>
                <w:szCs w:val="18"/>
              </w:rPr>
              <w:t xml:space="preserve">High</w:t>
            </w:r>
          </w:p>
        </w:tc>
      </w:tr>
      <w:tr>
        <w:tc>
          <w:tcPr>
            <w:tcW w:type="dxa" w:w="2400"/>
            <w:tcBorders>
              <w:top w:val="single" w:color="BFBFBF" w:sz="1"/>
              <w:left w:val="single" w:color="BFBFBF" w:sz="1"/>
              <w:bottom w:val="single" w:color="BFBFBF" w:sz="1"/>
              <w:right w:val="single" w:color="BFBFBF" w:sz="1"/>
            </w:tcBorders>
            <w:shd w:fill="F2F2F2" w:val="clear"/>
            <w:tcMar>
              <w:top w:type="dxa" w:w="80"/>
              <w:left w:type="dxa" w:w="120"/>
              <w:bottom w:type="dxa" w:w="80"/>
              <w:right w:type="dxa" w:w="120"/>
            </w:tcMar>
          </w:tcPr>
          <w:p>
            <w:r>
              <w:rPr>
                <w:rFonts w:ascii="Arial" w:cs="Arial" w:eastAsia="Arial" w:hAnsi="Arial"/>
                <w:b/>
                <w:bCs/>
                <w:sz w:val="18"/>
                <w:szCs w:val="18"/>
              </w:rPr>
              <w:t xml:space="preserve">Quality &amp; Warranty</w:t>
            </w:r>
          </w:p>
        </w:tc>
        <w:tc>
          <w:tcPr>
            <w:tcW w:type="dxa" w:w="2400"/>
            <w:tcBorders>
              <w:top w:val="single" w:color="BFBFBF" w:sz="1"/>
              <w:left w:val="single" w:color="BFBFBF" w:sz="1"/>
              <w:bottom w:val="single" w:color="BFBFBF" w:sz="1"/>
              <w:right w:val="single" w:color="BFBFBF" w:sz="1"/>
            </w:tcBorders>
            <w:shd w:fill="FFF2CC" w:val="clear"/>
            <w:tcMar>
              <w:top w:type="dxa" w:w="80"/>
              <w:left w:type="dxa" w:w="120"/>
              <w:bottom w:type="dxa" w:w="80"/>
              <w:right w:type="dxa" w:w="120"/>
            </w:tcMar>
          </w:tcPr>
          <w:p>
            <w:r>
              <w:rPr>
                <w:rFonts w:ascii="Arial" w:cs="Arial" w:eastAsia="Arial" w:hAnsi="Arial"/>
                <w:b/>
                <w:bCs/>
                <w:color w:val="C9A227"/>
                <w:sz w:val="18"/>
                <w:szCs w:val="18"/>
              </w:rPr>
              <w:t xml:space="preserve">Medium</w:t>
            </w:r>
          </w:p>
        </w:tc>
        <w:tc>
          <w:tcPr>
            <w:tcW w:type="dxa" w:w="2400"/>
            <w:tcBorders>
              <w:top w:val="single" w:color="BFBFBF" w:sz="1"/>
              <w:left w:val="single" w:color="BFBFBF" w:sz="1"/>
              <w:bottom w:val="single" w:color="BFBFBF" w:sz="1"/>
              <w:right w:val="single" w:color="BFBFBF" w:sz="1"/>
            </w:tcBorders>
            <w:shd w:fill="EBF1DE" w:val="clear"/>
            <w:tcMar>
              <w:top w:type="dxa" w:w="80"/>
              <w:left w:type="dxa" w:w="120"/>
              <w:bottom w:type="dxa" w:w="80"/>
              <w:right w:type="dxa" w:w="120"/>
            </w:tcMar>
          </w:tcPr>
          <w:p>
            <w:r>
              <w:rPr>
                <w:rFonts w:ascii="Arial" w:cs="Arial" w:eastAsia="Arial" w:hAnsi="Arial"/>
                <w:b/>
                <w:bCs/>
                <w:color w:val="375623"/>
                <w:sz w:val="18"/>
                <w:szCs w:val="18"/>
              </w:rPr>
              <w:t xml:space="preserve">High</w:t>
            </w:r>
          </w:p>
        </w:tc>
        <w:tc>
          <w:tcPr>
            <w:tcW w:type="dxa" w:w="2000"/>
            <w:tcBorders>
              <w:top w:val="single" w:color="BFBFBF" w:sz="1"/>
              <w:left w:val="single" w:color="BFBFBF" w:sz="1"/>
              <w:bottom w:val="single" w:color="BFBFBF" w:sz="1"/>
              <w:right w:val="single" w:color="BFBFBF" w:sz="1"/>
            </w:tcBorders>
            <w:shd w:fill="FFFFFF" w:val="clear"/>
            <w:tcMar>
              <w:top w:type="dxa" w:w="80"/>
              <w:left w:type="dxa" w:w="120"/>
              <w:bottom w:type="dxa" w:w="80"/>
              <w:right w:type="dxa" w:w="120"/>
            </w:tcMar>
          </w:tcPr>
          <w:p>
            <w:r>
              <w:rPr>
                <w:rFonts w:ascii="Arial" w:cs="Arial" w:eastAsia="Arial" w:hAnsi="Arial"/>
                <w:b/>
                <w:bCs/>
                <w:color w:val="C9A227"/>
                <w:sz w:val="18"/>
                <w:szCs w:val="18"/>
              </w:rPr>
              <w:t xml:space="preserve">High</w:t>
            </w:r>
          </w:p>
        </w:tc>
      </w:tr>
      <w:tr>
        <w:tc>
          <w:tcPr>
            <w:tcW w:type="dxa" w:w="2400"/>
            <w:tcBorders>
              <w:top w:val="single" w:color="BFBFBF" w:sz="1"/>
              <w:left w:val="single" w:color="BFBFBF" w:sz="1"/>
              <w:bottom w:val="single" w:color="BFBFBF" w:sz="1"/>
              <w:right w:val="single" w:color="BFBFBF" w:sz="1"/>
            </w:tcBorders>
            <w:shd w:fill="F2F2F2" w:val="clear"/>
            <w:tcMar>
              <w:top w:type="dxa" w:w="80"/>
              <w:left w:type="dxa" w:w="120"/>
              <w:bottom w:type="dxa" w:w="80"/>
              <w:right w:type="dxa" w:w="120"/>
            </w:tcMar>
          </w:tcPr>
          <w:p>
            <w:r>
              <w:rPr>
                <w:rFonts w:ascii="Arial" w:cs="Arial" w:eastAsia="Arial" w:hAnsi="Arial"/>
                <w:b/>
                <w:bCs/>
                <w:sz w:val="18"/>
                <w:szCs w:val="18"/>
              </w:rPr>
              <w:t xml:space="preserve">Payment Terms</w:t>
            </w:r>
          </w:p>
        </w:tc>
        <w:tc>
          <w:tcPr>
            <w:tcW w:type="dxa" w:w="2400"/>
            <w:tcBorders>
              <w:top w:val="single" w:color="BFBFBF" w:sz="1"/>
              <w:left w:val="single" w:color="BFBFBF" w:sz="1"/>
              <w:bottom w:val="single" w:color="BFBFBF" w:sz="1"/>
              <w:right w:val="single" w:color="BFBFBF" w:sz="1"/>
            </w:tcBorders>
            <w:shd w:fill="FFF2CC" w:val="clear"/>
            <w:tcMar>
              <w:top w:type="dxa" w:w="80"/>
              <w:left w:type="dxa" w:w="120"/>
              <w:bottom w:type="dxa" w:w="80"/>
              <w:right w:type="dxa" w:w="120"/>
            </w:tcMar>
          </w:tcPr>
          <w:p>
            <w:r>
              <w:rPr>
                <w:rFonts w:ascii="Arial" w:cs="Arial" w:eastAsia="Arial" w:hAnsi="Arial"/>
                <w:b/>
                <w:bCs/>
                <w:color w:val="C9A227"/>
                <w:sz w:val="18"/>
                <w:szCs w:val="18"/>
              </w:rPr>
              <w:t xml:space="preserve">Medium</w:t>
            </w:r>
          </w:p>
        </w:tc>
        <w:tc>
          <w:tcPr>
            <w:tcW w:type="dxa" w:w="2400"/>
            <w:tcBorders>
              <w:top w:val="single" w:color="BFBFBF" w:sz="1"/>
              <w:left w:val="single" w:color="BFBFBF" w:sz="1"/>
              <w:bottom w:val="single" w:color="BFBFBF" w:sz="1"/>
              <w:right w:val="single" w:color="BFBFBF" w:sz="1"/>
            </w:tcBorders>
            <w:shd w:fill="EBF1DE" w:val="clear"/>
            <w:tcMar>
              <w:top w:type="dxa" w:w="80"/>
              <w:left w:type="dxa" w:w="120"/>
              <w:bottom w:type="dxa" w:w="80"/>
              <w:right w:type="dxa" w:w="120"/>
            </w:tcMar>
          </w:tcPr>
          <w:p>
            <w:r>
              <w:rPr>
                <w:rFonts w:ascii="Arial" w:cs="Arial" w:eastAsia="Arial" w:hAnsi="Arial"/>
                <w:b/>
                <w:bCs/>
                <w:color w:val="2E75B6"/>
                <w:sz w:val="18"/>
                <w:szCs w:val="18"/>
              </w:rPr>
              <w:t xml:space="preserve">Medium</w:t>
            </w:r>
          </w:p>
        </w:tc>
        <w:tc>
          <w:tcPr>
            <w:tcW w:type="dxa" w:w="2000"/>
            <w:tcBorders>
              <w:top w:val="single" w:color="BFBFBF" w:sz="1"/>
              <w:left w:val="single" w:color="BFBFBF" w:sz="1"/>
              <w:bottom w:val="single" w:color="BFBFBF" w:sz="1"/>
              <w:right w:val="single" w:color="BFBFBF" w:sz="1"/>
            </w:tcBorders>
            <w:shd w:fill="FFFFFF" w:val="clear"/>
            <w:tcMar>
              <w:top w:type="dxa" w:w="80"/>
              <w:left w:type="dxa" w:w="120"/>
              <w:bottom w:type="dxa" w:w="80"/>
              <w:right w:type="dxa" w:w="120"/>
            </w:tcMar>
          </w:tcPr>
          <w:p>
            <w:r>
              <w:rPr>
                <w:rFonts w:ascii="Arial" w:cs="Arial" w:eastAsia="Arial" w:hAnsi="Arial"/>
                <w:b/>
                <w:bCs/>
                <w:color w:val="C9A227"/>
                <w:sz w:val="18"/>
                <w:szCs w:val="18"/>
              </w:rPr>
              <w:t xml:space="preserve">High</w:t>
            </w:r>
          </w:p>
        </w:tc>
      </w:tr>
      <w:tr>
        <w:tc>
          <w:tcPr>
            <w:tcW w:type="dxa" w:w="2400"/>
            <w:tcBorders>
              <w:top w:val="single" w:color="BFBFBF" w:sz="1"/>
              <w:left w:val="single" w:color="BFBFBF" w:sz="1"/>
              <w:bottom w:val="single" w:color="BFBFBF" w:sz="1"/>
              <w:right w:val="single" w:color="BFBFBF" w:sz="1"/>
            </w:tcBorders>
            <w:shd w:fill="F2F2F2" w:val="clear"/>
            <w:tcMar>
              <w:top w:type="dxa" w:w="80"/>
              <w:left w:type="dxa" w:w="120"/>
              <w:bottom w:type="dxa" w:w="80"/>
              <w:right w:type="dxa" w:w="120"/>
            </w:tcMar>
          </w:tcPr>
          <w:p>
            <w:r>
              <w:rPr>
                <w:rFonts w:ascii="Arial" w:cs="Arial" w:eastAsia="Arial" w:hAnsi="Arial"/>
                <w:b/>
                <w:bCs/>
                <w:sz w:val="18"/>
                <w:szCs w:val="18"/>
              </w:rPr>
              <w:t xml:space="preserve">Termination</w:t>
            </w:r>
          </w:p>
        </w:tc>
        <w:tc>
          <w:tcPr>
            <w:tcW w:type="dxa" w:w="2400"/>
            <w:tcBorders>
              <w:top w:val="single" w:color="BFBFBF" w:sz="1"/>
              <w:left w:val="single" w:color="BFBFBF" w:sz="1"/>
              <w:bottom w:val="single" w:color="BFBFBF" w:sz="1"/>
              <w:right w:val="single" w:color="BFBFBF" w:sz="1"/>
            </w:tcBorders>
            <w:shd w:fill="FFF2CC" w:val="clear"/>
            <w:tcMar>
              <w:top w:type="dxa" w:w="80"/>
              <w:left w:type="dxa" w:w="120"/>
              <w:bottom w:type="dxa" w:w="80"/>
              <w:right w:type="dxa" w:w="120"/>
            </w:tcMar>
          </w:tcPr>
          <w:p>
            <w:r>
              <w:rPr>
                <w:rFonts w:ascii="Arial" w:cs="Arial" w:eastAsia="Arial" w:hAnsi="Arial"/>
                <w:b/>
                <w:bCs/>
                <w:color w:val="C9A227"/>
                <w:sz w:val="18"/>
                <w:szCs w:val="18"/>
              </w:rPr>
              <w:t xml:space="preserve">Medium</w:t>
            </w:r>
          </w:p>
        </w:tc>
        <w:tc>
          <w:tcPr>
            <w:tcW w:type="dxa" w:w="2400"/>
            <w:tcBorders>
              <w:top w:val="single" w:color="BFBFBF" w:sz="1"/>
              <w:left w:val="single" w:color="BFBFBF" w:sz="1"/>
              <w:bottom w:val="single" w:color="BFBFBF" w:sz="1"/>
              <w:right w:val="single" w:color="BFBFBF" w:sz="1"/>
            </w:tcBorders>
            <w:shd w:fill="EBF1DE" w:val="clear"/>
            <w:tcMar>
              <w:top w:type="dxa" w:w="80"/>
              <w:left w:type="dxa" w:w="120"/>
              <w:bottom w:type="dxa" w:w="80"/>
              <w:right w:type="dxa" w:w="120"/>
            </w:tcMar>
          </w:tcPr>
          <w:p>
            <w:r>
              <w:rPr>
                <w:rFonts w:ascii="Arial" w:cs="Arial" w:eastAsia="Arial" w:hAnsi="Arial"/>
                <w:b/>
                <w:bCs/>
                <w:color w:val="2E75B6"/>
                <w:sz w:val="18"/>
                <w:szCs w:val="18"/>
              </w:rPr>
              <w:t xml:space="preserve">Medium</w:t>
            </w:r>
          </w:p>
        </w:tc>
        <w:tc>
          <w:tcPr>
            <w:tcW w:type="dxa" w:w="2000"/>
            <w:tcBorders>
              <w:top w:val="single" w:color="BFBFBF" w:sz="1"/>
              <w:left w:val="single" w:color="BFBFBF" w:sz="1"/>
              <w:bottom w:val="single" w:color="BFBFBF" w:sz="1"/>
              <w:right w:val="single" w:color="BFBFBF" w:sz="1"/>
            </w:tcBorders>
            <w:shd w:fill="FFFFFF" w:val="clear"/>
            <w:tcMar>
              <w:top w:type="dxa" w:w="80"/>
              <w:left w:type="dxa" w:w="120"/>
              <w:bottom w:type="dxa" w:w="80"/>
              <w:right w:type="dxa" w:w="120"/>
            </w:tcMar>
          </w:tcPr>
          <w:p>
            <w:r>
              <w:rPr>
                <w:rFonts w:ascii="Arial" w:cs="Arial" w:eastAsia="Arial" w:hAnsi="Arial"/>
                <w:b/>
                <w:bCs/>
                <w:color w:val="2E75B6"/>
                <w:sz w:val="18"/>
                <w:szCs w:val="18"/>
              </w:rPr>
              <w:t xml:space="preserve">Medium</w:t>
            </w:r>
          </w:p>
        </w:tc>
      </w:tr>
      <w:tr>
        <w:tc>
          <w:tcPr>
            <w:tcW w:type="dxa" w:w="2400"/>
            <w:tcBorders>
              <w:top w:val="single" w:color="BFBFBF" w:sz="1"/>
              <w:left w:val="single" w:color="BFBFBF" w:sz="1"/>
              <w:bottom w:val="single" w:color="BFBFBF" w:sz="1"/>
              <w:right w:val="single" w:color="BFBFBF" w:sz="1"/>
            </w:tcBorders>
            <w:shd w:fill="F2F2F2" w:val="clear"/>
            <w:tcMar>
              <w:top w:type="dxa" w:w="80"/>
              <w:left w:type="dxa" w:w="120"/>
              <w:bottom w:type="dxa" w:w="80"/>
              <w:right w:type="dxa" w:w="120"/>
            </w:tcMar>
          </w:tcPr>
          <w:p>
            <w:r>
              <w:rPr>
                <w:rFonts w:ascii="Arial" w:cs="Arial" w:eastAsia="Arial" w:hAnsi="Arial"/>
                <w:b/>
                <w:bCs/>
                <w:sz w:val="18"/>
                <w:szCs w:val="18"/>
              </w:rPr>
              <w:t xml:space="preserve">Continuous Improvement</w:t>
            </w:r>
          </w:p>
        </w:tc>
        <w:tc>
          <w:tcPr>
            <w:tcW w:type="dxa" w:w="2400"/>
            <w:tcBorders>
              <w:top w:val="single" w:color="BFBFBF" w:sz="1"/>
              <w:left w:val="single" w:color="BFBFBF" w:sz="1"/>
              <w:bottom w:val="single" w:color="BFBFBF" w:sz="1"/>
              <w:right w:val="single" w:color="BFBFBF" w:sz="1"/>
            </w:tcBorders>
            <w:shd w:fill="FFF2CC" w:val="clear"/>
            <w:tcMar>
              <w:top w:type="dxa" w:w="80"/>
              <w:left w:type="dxa" w:w="120"/>
              <w:bottom w:type="dxa" w:w="80"/>
              <w:right w:type="dxa" w:w="120"/>
            </w:tcMar>
          </w:tcPr>
          <w:p>
            <w:r>
              <w:rPr>
                <w:rFonts w:ascii="Arial" w:cs="Arial" w:eastAsia="Arial" w:hAnsi="Arial"/>
                <w:b/>
                <w:bCs/>
                <w:color w:val="C00000"/>
                <w:sz w:val="18"/>
                <w:szCs w:val="18"/>
              </w:rPr>
              <w:t xml:space="preserve">High</w:t>
            </w:r>
          </w:p>
        </w:tc>
        <w:tc>
          <w:tcPr>
            <w:tcW w:type="dxa" w:w="2400"/>
            <w:tcBorders>
              <w:top w:val="single" w:color="BFBFBF" w:sz="1"/>
              <w:left w:val="single" w:color="BFBFBF" w:sz="1"/>
              <w:bottom w:val="single" w:color="BFBFBF" w:sz="1"/>
              <w:right w:val="single" w:color="BFBFBF" w:sz="1"/>
            </w:tcBorders>
            <w:shd w:fill="EBF1DE" w:val="clear"/>
            <w:tcMar>
              <w:top w:type="dxa" w:w="80"/>
              <w:left w:type="dxa" w:w="120"/>
              <w:bottom w:type="dxa" w:w="80"/>
              <w:right w:type="dxa" w:w="120"/>
            </w:tcMar>
          </w:tcPr>
          <w:p>
            <w:r>
              <w:rPr>
                <w:rFonts w:ascii="Arial" w:cs="Arial" w:eastAsia="Arial" w:hAnsi="Arial"/>
                <w:b/>
                <w:bCs/>
                <w:color w:val="375623"/>
                <w:sz w:val="18"/>
                <w:szCs w:val="18"/>
              </w:rPr>
              <w:t xml:space="preserve">High</w:t>
            </w:r>
          </w:p>
        </w:tc>
        <w:tc>
          <w:tcPr>
            <w:tcW w:type="dxa" w:w="2000"/>
            <w:tcBorders>
              <w:top w:val="single" w:color="BFBFBF" w:sz="1"/>
              <w:left w:val="single" w:color="BFBFBF" w:sz="1"/>
              <w:bottom w:val="single" w:color="BFBFBF" w:sz="1"/>
              <w:right w:val="single" w:color="BFBFBF" w:sz="1"/>
            </w:tcBorders>
            <w:shd w:fill="FFFFFF" w:val="clear"/>
            <w:tcMar>
              <w:top w:type="dxa" w:w="80"/>
              <w:left w:type="dxa" w:w="120"/>
              <w:bottom w:type="dxa" w:w="80"/>
              <w:right w:type="dxa" w:w="120"/>
            </w:tcMar>
          </w:tcPr>
          <w:p>
            <w:r>
              <w:rPr>
                <w:rFonts w:ascii="Arial" w:cs="Arial" w:eastAsia="Arial" w:hAnsi="Arial"/>
                <w:b/>
                <w:bCs/>
                <w:color w:val="C00000"/>
                <w:sz w:val="18"/>
                <w:szCs w:val="18"/>
              </w:rPr>
              <w:t xml:space="preserve">Critical</w:t>
            </w:r>
          </w:p>
        </w:tc>
      </w:tr>
      <w:tr>
        <w:tc>
          <w:tcPr>
            <w:tcW w:type="dxa" w:w="2400"/>
            <w:tcBorders>
              <w:top w:val="single" w:color="BFBFBF" w:sz="1"/>
              <w:left w:val="single" w:color="BFBFBF" w:sz="1"/>
              <w:bottom w:val="single" w:color="BFBFBF" w:sz="1"/>
              <w:right w:val="single" w:color="BFBFBF" w:sz="1"/>
            </w:tcBorders>
            <w:shd w:fill="F2F2F2" w:val="clear"/>
            <w:tcMar>
              <w:top w:type="dxa" w:w="80"/>
              <w:left w:type="dxa" w:w="120"/>
              <w:bottom w:type="dxa" w:w="80"/>
              <w:right w:type="dxa" w:w="120"/>
            </w:tcMar>
          </w:tcPr>
          <w:p>
            <w:r>
              <w:rPr>
                <w:rFonts w:ascii="Arial" w:cs="Arial" w:eastAsia="Arial" w:hAnsi="Arial"/>
                <w:b/>
                <w:bCs/>
                <w:sz w:val="18"/>
                <w:szCs w:val="18"/>
              </w:rPr>
              <w:t xml:space="preserve">Relationship Governance</w:t>
            </w:r>
          </w:p>
        </w:tc>
        <w:tc>
          <w:tcPr>
            <w:tcW w:type="dxa" w:w="2400"/>
            <w:tcBorders>
              <w:top w:val="single" w:color="BFBFBF" w:sz="1"/>
              <w:left w:val="single" w:color="BFBFBF" w:sz="1"/>
              <w:bottom w:val="single" w:color="BFBFBF" w:sz="1"/>
              <w:right w:val="single" w:color="BFBFBF" w:sz="1"/>
            </w:tcBorders>
            <w:shd w:fill="FFF2CC" w:val="clear"/>
            <w:tcMar>
              <w:top w:type="dxa" w:w="80"/>
              <w:left w:type="dxa" w:w="120"/>
              <w:bottom w:type="dxa" w:w="80"/>
              <w:right w:type="dxa" w:w="120"/>
            </w:tcMar>
          </w:tcPr>
          <w:p>
            <w:r>
              <w:rPr>
                <w:rFonts w:ascii="Arial" w:cs="Arial" w:eastAsia="Arial" w:hAnsi="Arial"/>
                <w:b/>
                <w:bCs/>
                <w:color w:val="C00000"/>
                <w:sz w:val="18"/>
                <w:szCs w:val="18"/>
              </w:rPr>
              <w:t xml:space="preserve">High</w:t>
            </w:r>
          </w:p>
        </w:tc>
        <w:tc>
          <w:tcPr>
            <w:tcW w:type="dxa" w:w="2400"/>
            <w:tcBorders>
              <w:top w:val="single" w:color="BFBFBF" w:sz="1"/>
              <w:left w:val="single" w:color="BFBFBF" w:sz="1"/>
              <w:bottom w:val="single" w:color="BFBFBF" w:sz="1"/>
              <w:right w:val="single" w:color="BFBFBF" w:sz="1"/>
            </w:tcBorders>
            <w:shd w:fill="EBF1DE" w:val="clear"/>
            <w:tcMar>
              <w:top w:type="dxa" w:w="80"/>
              <w:left w:type="dxa" w:w="120"/>
              <w:bottom w:type="dxa" w:w="80"/>
              <w:right w:type="dxa" w:w="120"/>
            </w:tcMar>
          </w:tcPr>
          <w:p>
            <w:r>
              <w:rPr>
                <w:rFonts w:ascii="Arial" w:cs="Arial" w:eastAsia="Arial" w:hAnsi="Arial"/>
                <w:b/>
                <w:bCs/>
                <w:color w:val="375623"/>
                <w:sz w:val="18"/>
                <w:szCs w:val="18"/>
              </w:rPr>
              <w:t xml:space="preserve">High</w:t>
            </w:r>
          </w:p>
        </w:tc>
        <w:tc>
          <w:tcPr>
            <w:tcW w:type="dxa" w:w="2000"/>
            <w:tcBorders>
              <w:top w:val="single" w:color="BFBFBF" w:sz="1"/>
              <w:left w:val="single" w:color="BFBFBF" w:sz="1"/>
              <w:bottom w:val="single" w:color="BFBFBF" w:sz="1"/>
              <w:right w:val="single" w:color="BFBFBF" w:sz="1"/>
            </w:tcBorders>
            <w:shd w:fill="FFFFFF" w:val="clear"/>
            <w:tcMar>
              <w:top w:type="dxa" w:w="80"/>
              <w:left w:type="dxa" w:w="120"/>
              <w:bottom w:type="dxa" w:w="80"/>
              <w:right w:type="dxa" w:w="120"/>
            </w:tcMar>
          </w:tcPr>
          <w:p>
            <w:r>
              <w:rPr>
                <w:rFonts w:ascii="Arial" w:cs="Arial" w:eastAsia="Arial" w:hAnsi="Arial"/>
                <w:b/>
                <w:bCs/>
                <w:color w:val="C00000"/>
                <w:sz w:val="18"/>
                <w:szCs w:val="18"/>
              </w:rPr>
              <w:t xml:space="preserve">Critical</w:t>
            </w:r>
          </w:p>
        </w:tc>
      </w:tr>
    </w:tbl>
    <w:p>
      <w:pPr>
        <w:spacing w:after="0" w:before="80"/>
      </w:pP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1600"/>
        <w:gridCol w:w="7600"/>
      </w:tblGrid>
      <w:tr>
        <w:tc>
          <w:tcPr>
            <w:tcW w:type="dxa" w:w="1600"/>
            <w:tcBorders>
              <w:top w:val="none" w:color="FFFFFF" w:sz="0"/>
              <w:left w:val="none" w:color="FFFFFF" w:sz="0"/>
              <w:bottom w:val="none" w:color="FFFFFF" w:sz="0"/>
              <w:right w:val="none" w:color="FFFFFF" w:sz="0"/>
            </w:tcBorders>
            <w:shd w:fill="DEEAF1" w:val="clear"/>
            <w:tcMar>
              <w:top w:type="dxa" w:w="80"/>
              <w:left w:type="dxa" w:w="160"/>
              <w:bottom w:type="dxa" w:w="80"/>
              <w:right w:type="dxa" w:w="80"/>
            </w:tcMar>
          </w:tcPr>
          <w:p>
            <w:r>
              <w:rPr>
                <w:rFonts w:ascii="Arial" w:cs="Arial" w:eastAsia="Arial" w:hAnsi="Arial"/>
                <w:b/>
                <w:bCs/>
                <w:color w:val="2E75B6"/>
                <w:sz w:val="18"/>
                <w:szCs w:val="18"/>
              </w:rPr>
              <w:t xml:space="preserve">● How to read this</w:t>
            </w:r>
          </w:p>
        </w:tc>
        <w:tc>
          <w:tcPr>
            <w:tcW w:type="dxa" w:w="7600"/>
            <w:tcBorders>
              <w:top w:val="none" w:color="FFFFFF" w:sz="0"/>
              <w:left w:val="none" w:color="FFFFFF" w:sz="0"/>
              <w:bottom w:val="none" w:color="FFFFFF" w:sz="0"/>
              <w:right w:val="none" w:color="FFFFFF" w:sz="0"/>
            </w:tcBorders>
            <w:shd w:fill="DEEAF1" w:val="clear"/>
            <w:tcMar>
              <w:top w:type="dxa" w:w="80"/>
              <w:left w:type="dxa" w:w="160"/>
              <w:bottom w:type="dxa" w:w="80"/>
              <w:right w:type="dxa" w:w="160"/>
            </w:tcMar>
          </w:tcPr>
          <w:p>
            <w:r>
              <w:rPr>
                <w:rFonts w:ascii="Arial" w:cs="Arial" w:eastAsia="Arial" w:hAnsi="Arial"/>
                <w:color w:val="333333"/>
                <w:sz w:val="18"/>
                <w:szCs w:val="18"/>
              </w:rPr>
              <w:t xml:space="preserve">Critical = should be addressed before signing or in first renegotiation cycle. High = address in next annual review. Medium = monitor and improve over time.</w:t>
            </w:r>
          </w:p>
        </w:tc>
      </w:tr>
    </w:tbl>
    <w:p>
      <w:pPr>
        <w:spacing w:after="0" w:before="120"/>
      </w:pPr>
    </w:p>
    <w:p>
      <w:pPr>
        <w:shd w:fill="1F3864" w:val="clear"/>
        <w:spacing w:after="0" w:before="380"/>
        <w:ind w:left="160" w:right="160"/>
      </w:pPr>
      <w:r>
        <w:rPr>
          <w:rFonts w:ascii="Arial" w:cs="Arial" w:eastAsia="Arial" w:hAnsi="Arial"/>
          <w:b/>
          <w:bCs/>
          <w:color w:val="FFFFFF"/>
          <w:sz w:val="26"/>
          <w:szCs w:val="26"/>
        </w:rPr>
        <w:t xml:space="preserve">1 · PRICING &amp; RAW MATERIAL ADJUSTMENT (§12–14)</w:t>
      </w:r>
    </w:p>
    <w:p>
      <w:pPr>
        <w:spacing w:after="0" w:before="160"/>
      </w:pPr>
    </w:p>
    <w:p>
      <w:pPr>
        <w:pBdr>
          <w:bottom w:val="single" w:color="2E75B6" w:sz="6" w:space="1"/>
        </w:pBdr>
        <w:spacing w:after="80" w:before="260"/>
      </w:pPr>
      <w:r>
        <w:rPr>
          <w:rFonts w:ascii="Arial" w:cs="Arial" w:eastAsia="Arial" w:hAnsi="Arial"/>
          <w:b/>
          <w:bCs/>
          <w:color w:val="2E75B6"/>
          <w:sz w:val="22"/>
          <w:szCs w:val="22"/>
        </w:rPr>
        <w:t xml:space="preserve">The Positional Pattern</w:t>
      </w:r>
    </w:p>
    <w:p>
      <w:pPr>
        <w:spacing w:after="60" w:before="60"/>
      </w:pPr>
      <w:r>
        <w:rPr>
          <w:rFonts w:ascii="Arial" w:cs="Arial" w:eastAsia="Arial" w:hAnsi="Arial"/>
          <w:color w:val="595959"/>
          <w:sz w:val="20"/>
          <w:szCs w:val="20"/>
        </w:rPr>
        <w:t xml:space="preserve">The pricing structure is entirely reactive: a static base price adjusted only when raw material indices move. This design protects neither party well — it creates quarterly disputes rather than alignment, and provides no mechanism for sharing the gains from efficiency improvements or deeper collaboration.</w:t>
      </w:r>
    </w:p>
    <w:p>
      <w:pPr>
        <w:spacing w:after="0" w:before="100"/>
      </w:pP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2000"/>
        <w:gridCol w:w="7200"/>
      </w:tblGrid>
      <w:tr>
        <w:tc>
          <w:tcPr>
            <w:tcW w:type="dxa" w:w="9200"/>
            <w:gridSpan w:val="2"/>
            <w:tcBorders>
              <w:top w:val="single" w:color="BFBFBF" w:sz="1"/>
              <w:left w:val="single" w:color="BFBFBF" w:sz="1"/>
              <w:bottom w:val="single" w:color="BFBFBF" w:sz="1"/>
              <w:right w:val="single" w:color="BFBFBF" w:sz="1"/>
            </w:tcBorders>
            <w:shd w:fill="FFF2CC" w:val="clear"/>
            <w:tcMar>
              <w:top w:type="dxa" w:w="80"/>
              <w:left w:type="dxa" w:w="160"/>
              <w:bottom w:type="dxa" w:w="80"/>
              <w:right w:type="dxa" w:w="160"/>
            </w:tcMar>
          </w:tcPr>
          <w:p>
            <w:r>
              <w:rPr>
                <w:rFonts w:ascii="Arial" w:cs="Arial" w:eastAsia="Arial" w:hAnsi="Arial"/>
                <w:b/>
                <w:bCs/>
                <w:color w:val="C9A227"/>
                <w:sz w:val="20"/>
                <w:szCs w:val="20"/>
              </w:rPr>
              <w:t xml:space="preserve">§13  </w:t>
            </w:r>
            <w:r>
              <w:rPr>
                <w:rFonts w:ascii="Arial" w:cs="Arial" w:eastAsia="Arial" w:hAnsi="Arial"/>
                <w:b/>
                <w:bCs/>
                <w:color w:val="222222"/>
                <w:sz w:val="20"/>
                <w:szCs w:val="20"/>
              </w:rPr>
              <w:t xml:space="preserve">Raw Material Index Adjustment</w:t>
            </w:r>
          </w:p>
        </w:tc>
      </w:tr>
      <w:tr>
        <w:tc>
          <w:tcPr>
            <w:tcW w:type="dxa" w:w="2000"/>
            <w:tcBorders>
              <w:top w:val="single" w:color="BFBFBF" w:sz="1"/>
              <w:left w:val="single" w:color="BFBFBF" w:sz="1"/>
              <w:bottom w:val="single" w:color="BFBFBF" w:sz="1"/>
              <w:right w:val="single" w:color="BFBFBF" w:sz="1"/>
            </w:tcBorders>
            <w:shd w:fill="F2F2F2" w:val="clear"/>
            <w:tcMar>
              <w:top w:type="dxa" w:w="80"/>
              <w:left w:type="dxa" w:w="160"/>
              <w:bottom w:type="dxa" w:w="80"/>
              <w:right w:type="dxa" w:w="160"/>
            </w:tcMar>
          </w:tcPr>
          <w:p>
            <w:r>
              <w:rPr>
                <w:rFonts w:ascii="Arial" w:cs="Arial" w:eastAsia="Arial" w:hAnsi="Arial"/>
                <w:b/>
                <w:bCs/>
                <w:color w:val="333333"/>
                <w:sz w:val="18"/>
                <w:szCs w:val="18"/>
              </w:rPr>
              <w:t xml:space="preserve">What it says</w:t>
            </w:r>
          </w:p>
        </w:tc>
        <w:tc>
          <w:tcPr>
            <w:tcW w:type="dxa" w:w="7200"/>
            <w:tcBorders>
              <w:top w:val="single" w:color="BFBFBF" w:sz="1"/>
              <w:left w:val="single" w:color="BFBFBF" w:sz="1"/>
              <w:bottom w:val="single" w:color="BFBFBF" w:sz="1"/>
              <w:right w:val="single" w:color="BFBFBF" w:sz="1"/>
            </w:tcBorders>
            <w:shd w:fill="FFFFFF" w:val="clear"/>
            <w:tcMar>
              <w:top w:type="dxa" w:w="80"/>
              <w:left w:type="dxa" w:w="160"/>
              <w:bottom w:type="dxa" w:w="80"/>
              <w:right w:type="dxa" w:w="160"/>
            </w:tcMar>
          </w:tcPr>
          <w:p>
            <w:r>
              <w:rPr>
                <w:rFonts w:ascii="Arial" w:cs="Arial" w:eastAsia="Arial" w:hAnsi="Arial"/>
                <w:color w:val="333333"/>
                <w:sz w:val="18"/>
                <w:szCs w:val="18"/>
              </w:rPr>
              <w:t xml:space="preserve">Unit price adjusts quarterly based on published commodity indices for lithium, nickel, and cobalt. Supplier calculates; Buyer reviews and confirms.</w:t>
            </w:r>
          </w:p>
        </w:tc>
      </w:tr>
      <w:tr>
        <w:tc>
          <w:tcPr>
            <w:tcW w:type="dxa" w:w="2000"/>
            <w:tcBorders>
              <w:top w:val="single" w:color="BFBFBF" w:sz="1"/>
              <w:left w:val="single" w:color="BFBFBF" w:sz="1"/>
              <w:bottom w:val="single" w:color="BFBFBF" w:sz="1"/>
              <w:right w:val="single" w:color="BFBFBF" w:sz="1"/>
            </w:tcBorders>
            <w:shd w:fill="F2F2F2" w:val="clear"/>
            <w:tcMar>
              <w:top w:type="dxa" w:w="80"/>
              <w:left w:type="dxa" w:w="160"/>
              <w:bottom w:type="dxa" w:w="80"/>
              <w:right w:type="dxa" w:w="160"/>
            </w:tcMar>
          </w:tcPr>
          <w:p>
            <w:r>
              <w:rPr>
                <w:rFonts w:ascii="Arial" w:cs="Arial" w:eastAsia="Arial" w:hAnsi="Arial"/>
                <w:b/>
                <w:bCs/>
                <w:color w:val="333333"/>
                <w:sz w:val="18"/>
                <w:szCs w:val="18"/>
              </w:rPr>
              <w:t xml:space="preserve">Why it's positional</w:t>
            </w:r>
          </w:p>
        </w:tc>
        <w:tc>
          <w:tcPr>
            <w:tcW w:type="dxa" w:w="7200"/>
            <w:tcBorders>
              <w:top w:val="single" w:color="BFBFBF" w:sz="1"/>
              <w:left w:val="single" w:color="BFBFBF" w:sz="1"/>
              <w:bottom w:val="single" w:color="BFBFBF" w:sz="1"/>
              <w:right w:val="single" w:color="BFBFBF" w:sz="1"/>
            </w:tcBorders>
            <w:shd w:fill="FFF2CC" w:val="clear"/>
            <w:tcMar>
              <w:top w:type="dxa" w:w="80"/>
              <w:left w:type="dxa" w:w="160"/>
              <w:bottom w:type="dxa" w:w="80"/>
              <w:right w:type="dxa" w:w="160"/>
            </w:tcMar>
          </w:tcPr>
          <w:p>
            <w:r>
              <w:rPr>
                <w:rFonts w:ascii="Arial" w:cs="Arial" w:eastAsia="Arial" w:hAnsi="Arial"/>
                <w:color w:val="333333"/>
                <w:sz w:val="18"/>
                <w:szCs w:val="18"/>
              </w:rPr>
              <w:t xml:space="preserve">Framed as a cost-pass-through mechanism, this clause protects Supplier's margin but creates an adversarial quarterly renegotiation loop. It assumes Buyer has no role in helping manage input costs, and that the relationship is purely transactional. Buyer's only power is to 'confirm' — which in practice means accept or dispute.</w:t>
            </w:r>
          </w:p>
        </w:tc>
      </w:tr>
      <w:tr>
        <w:tc>
          <w:tcPr>
            <w:tcW w:type="dxa" w:w="2000"/>
            <w:tcBorders>
              <w:top w:val="single" w:color="BFBFBF" w:sz="1"/>
              <w:left w:val="single" w:color="BFBFBF" w:sz="1"/>
              <w:bottom w:val="single" w:color="BFBFBF" w:sz="1"/>
              <w:right w:val="single" w:color="BFBFBF" w:sz="1"/>
            </w:tcBorders>
            <w:shd w:fill="F2F2F2" w:val="clear"/>
            <w:tcMar>
              <w:top w:type="dxa" w:w="80"/>
              <w:left w:type="dxa" w:w="160"/>
              <w:bottom w:type="dxa" w:w="80"/>
              <w:right w:type="dxa" w:w="160"/>
            </w:tcMar>
          </w:tcPr>
          <w:p>
            <w:r>
              <w:rPr>
                <w:rFonts w:ascii="Arial" w:cs="Arial" w:eastAsia="Arial" w:hAnsi="Arial"/>
                <w:b/>
                <w:bCs/>
                <w:color w:val="333333"/>
                <w:sz w:val="18"/>
                <w:szCs w:val="18"/>
              </w:rPr>
              <w:t xml:space="preserve">SMARTnership reframe</w:t>
            </w:r>
          </w:p>
        </w:tc>
        <w:tc>
          <w:tcPr>
            <w:tcW w:type="dxa" w:w="7200"/>
            <w:tcBorders>
              <w:top w:val="single" w:color="BFBFBF" w:sz="1"/>
              <w:left w:val="single" w:color="BFBFBF" w:sz="1"/>
              <w:bottom w:val="single" w:color="BFBFBF" w:sz="1"/>
              <w:right w:val="single" w:color="BFBFBF" w:sz="1"/>
            </w:tcBorders>
            <w:shd w:fill="EBF1DE" w:val="clear"/>
            <w:tcMar>
              <w:top w:type="dxa" w:w="80"/>
              <w:left w:type="dxa" w:w="160"/>
              <w:bottom w:type="dxa" w:w="80"/>
              <w:right w:type="dxa" w:w="160"/>
            </w:tcMar>
          </w:tcPr>
          <w:p>
            <w:r>
              <w:rPr>
                <w:rFonts w:ascii="Arial" w:cs="Arial" w:eastAsia="Arial" w:hAnsi="Arial"/>
                <w:color w:val="333333"/>
                <w:sz w:val="18"/>
                <w:szCs w:val="18"/>
              </w:rPr>
              <w:t xml:space="preserve">Replace the one-sided pass-through with a shared hedging structure: joint commodity price risk management, agreed forward-buying windows, and a gain-share mechanism — so that when Supplier's procurement team beats the index, both parties benefit. This transforms a cost-control battle into a supply chain partnership.</w:t>
            </w:r>
          </w:p>
        </w:tc>
      </w:tr>
    </w:tbl>
    <w:p>
      <w:pPr>
        <w:spacing w:after="0" w:before="80"/>
      </w:pP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2000"/>
        <w:gridCol w:w="7200"/>
      </w:tblGrid>
      <w:tr>
        <w:tc>
          <w:tcPr>
            <w:tcW w:type="dxa" w:w="9200"/>
            <w:gridSpan w:val="2"/>
            <w:tcBorders>
              <w:top w:val="single" w:color="BFBFBF" w:sz="1"/>
              <w:left w:val="single" w:color="BFBFBF" w:sz="1"/>
              <w:bottom w:val="single" w:color="BFBFBF" w:sz="1"/>
              <w:right w:val="single" w:color="BFBFBF" w:sz="1"/>
            </w:tcBorders>
            <w:shd w:fill="FFF2CC" w:val="clear"/>
            <w:tcMar>
              <w:top w:type="dxa" w:w="80"/>
              <w:left w:type="dxa" w:w="160"/>
              <w:bottom w:type="dxa" w:w="80"/>
              <w:right w:type="dxa" w:w="160"/>
            </w:tcMar>
          </w:tcPr>
          <w:p>
            <w:r>
              <w:rPr>
                <w:rFonts w:ascii="Arial" w:cs="Arial" w:eastAsia="Arial" w:hAnsi="Arial"/>
                <w:b/>
                <w:bCs/>
                <w:color w:val="C9A227"/>
                <w:sz w:val="20"/>
                <w:szCs w:val="20"/>
              </w:rPr>
              <w:t xml:space="preserve">§35 / §60  </w:t>
            </w:r>
            <w:r>
              <w:rPr>
                <w:rFonts w:ascii="Arial" w:cs="Arial" w:eastAsia="Arial" w:hAnsi="Arial"/>
                <w:b/>
                <w:bCs/>
                <w:color w:val="222222"/>
                <w:sz w:val="20"/>
                <w:szCs w:val="20"/>
              </w:rPr>
              <w:t xml:space="preserve">Continuous Improvement &amp; Cost Reduction</w:t>
            </w:r>
          </w:p>
        </w:tc>
      </w:tr>
      <w:tr>
        <w:tc>
          <w:tcPr>
            <w:tcW w:type="dxa" w:w="2000"/>
            <w:tcBorders>
              <w:top w:val="single" w:color="BFBFBF" w:sz="1"/>
              <w:left w:val="single" w:color="BFBFBF" w:sz="1"/>
              <w:bottom w:val="single" w:color="BFBFBF" w:sz="1"/>
              <w:right w:val="single" w:color="BFBFBF" w:sz="1"/>
            </w:tcBorders>
            <w:shd w:fill="F2F2F2" w:val="clear"/>
            <w:tcMar>
              <w:top w:type="dxa" w:w="80"/>
              <w:left w:type="dxa" w:w="160"/>
              <w:bottom w:type="dxa" w:w="80"/>
              <w:right w:type="dxa" w:w="160"/>
            </w:tcMar>
          </w:tcPr>
          <w:p>
            <w:r>
              <w:rPr>
                <w:rFonts w:ascii="Arial" w:cs="Arial" w:eastAsia="Arial" w:hAnsi="Arial"/>
                <w:b/>
                <w:bCs/>
                <w:color w:val="333333"/>
                <w:sz w:val="18"/>
                <w:szCs w:val="18"/>
              </w:rPr>
              <w:t xml:space="preserve">What it says</w:t>
            </w:r>
          </w:p>
        </w:tc>
        <w:tc>
          <w:tcPr>
            <w:tcW w:type="dxa" w:w="7200"/>
            <w:tcBorders>
              <w:top w:val="single" w:color="BFBFBF" w:sz="1"/>
              <w:left w:val="single" w:color="BFBFBF" w:sz="1"/>
              <w:bottom w:val="single" w:color="BFBFBF" w:sz="1"/>
              <w:right w:val="single" w:color="BFBFBF" w:sz="1"/>
            </w:tcBorders>
            <w:shd w:fill="FFFFFF" w:val="clear"/>
            <w:tcMar>
              <w:top w:type="dxa" w:w="80"/>
              <w:left w:type="dxa" w:w="160"/>
              <w:bottom w:type="dxa" w:w="80"/>
              <w:right w:type="dxa" w:w="160"/>
            </w:tcMar>
          </w:tcPr>
          <w:p>
            <w:r>
              <w:rPr>
                <w:rFonts w:ascii="Arial" w:cs="Arial" w:eastAsia="Arial" w:hAnsi="Arial"/>
                <w:color w:val="333333"/>
                <w:sz w:val="18"/>
                <w:szCs w:val="18"/>
              </w:rPr>
              <w:t xml:space="preserve">If Supplier reduces costs through manufacturing improvements, 'the Parties may discuss potential adjustments to product pricing.' Supplier retains all innovations independently developed.</w:t>
            </w:r>
          </w:p>
        </w:tc>
      </w:tr>
      <w:tr>
        <w:tc>
          <w:tcPr>
            <w:tcW w:type="dxa" w:w="2000"/>
            <w:tcBorders>
              <w:top w:val="single" w:color="BFBFBF" w:sz="1"/>
              <w:left w:val="single" w:color="BFBFBF" w:sz="1"/>
              <w:bottom w:val="single" w:color="BFBFBF" w:sz="1"/>
              <w:right w:val="single" w:color="BFBFBF" w:sz="1"/>
            </w:tcBorders>
            <w:shd w:fill="F2F2F2" w:val="clear"/>
            <w:tcMar>
              <w:top w:type="dxa" w:w="80"/>
              <w:left w:type="dxa" w:w="160"/>
              <w:bottom w:type="dxa" w:w="80"/>
              <w:right w:type="dxa" w:w="160"/>
            </w:tcMar>
          </w:tcPr>
          <w:p>
            <w:r>
              <w:rPr>
                <w:rFonts w:ascii="Arial" w:cs="Arial" w:eastAsia="Arial" w:hAnsi="Arial"/>
                <w:b/>
                <w:bCs/>
                <w:color w:val="333333"/>
                <w:sz w:val="18"/>
                <w:szCs w:val="18"/>
              </w:rPr>
              <w:t xml:space="preserve">Why it's positional</w:t>
            </w:r>
          </w:p>
        </w:tc>
        <w:tc>
          <w:tcPr>
            <w:tcW w:type="dxa" w:w="7200"/>
            <w:tcBorders>
              <w:top w:val="single" w:color="BFBFBF" w:sz="1"/>
              <w:left w:val="single" w:color="BFBFBF" w:sz="1"/>
              <w:bottom w:val="single" w:color="BFBFBF" w:sz="1"/>
              <w:right w:val="single" w:color="BFBFBF" w:sz="1"/>
            </w:tcBorders>
            <w:shd w:fill="FFF2CC" w:val="clear"/>
            <w:tcMar>
              <w:top w:type="dxa" w:w="80"/>
              <w:left w:type="dxa" w:w="160"/>
              <w:bottom w:type="dxa" w:w="80"/>
              <w:right w:type="dxa" w:w="160"/>
            </w:tcMar>
          </w:tcPr>
          <w:p>
            <w:r>
              <w:rPr>
                <w:rFonts w:ascii="Arial" w:cs="Arial" w:eastAsia="Arial" w:hAnsi="Arial"/>
                <w:color w:val="333333"/>
                <w:sz w:val="18"/>
                <w:szCs w:val="18"/>
              </w:rPr>
              <w:t xml:space="preserve">The phrase 'may discuss' is purely aspirational. In practice, Supplier has zero contractual incentive to share efficiency gains with Buyer. All productivity upside accrues to Supplier. This is a classic positional omission: the absence of a gain-share clause implicitly favors one side.</w:t>
            </w:r>
          </w:p>
        </w:tc>
      </w:tr>
      <w:tr>
        <w:tc>
          <w:tcPr>
            <w:tcW w:type="dxa" w:w="2000"/>
            <w:tcBorders>
              <w:top w:val="single" w:color="BFBFBF" w:sz="1"/>
              <w:left w:val="single" w:color="BFBFBF" w:sz="1"/>
              <w:bottom w:val="single" w:color="BFBFBF" w:sz="1"/>
              <w:right w:val="single" w:color="BFBFBF" w:sz="1"/>
            </w:tcBorders>
            <w:shd w:fill="F2F2F2" w:val="clear"/>
            <w:tcMar>
              <w:top w:type="dxa" w:w="80"/>
              <w:left w:type="dxa" w:w="160"/>
              <w:bottom w:type="dxa" w:w="80"/>
              <w:right w:type="dxa" w:w="160"/>
            </w:tcMar>
          </w:tcPr>
          <w:p>
            <w:r>
              <w:rPr>
                <w:rFonts w:ascii="Arial" w:cs="Arial" w:eastAsia="Arial" w:hAnsi="Arial"/>
                <w:b/>
                <w:bCs/>
                <w:color w:val="333333"/>
                <w:sz w:val="18"/>
                <w:szCs w:val="18"/>
              </w:rPr>
              <w:t xml:space="preserve">SMARTnership reframe</w:t>
            </w:r>
          </w:p>
        </w:tc>
        <w:tc>
          <w:tcPr>
            <w:tcW w:type="dxa" w:w="7200"/>
            <w:tcBorders>
              <w:top w:val="single" w:color="BFBFBF" w:sz="1"/>
              <w:left w:val="single" w:color="BFBFBF" w:sz="1"/>
              <w:bottom w:val="single" w:color="BFBFBF" w:sz="1"/>
              <w:right w:val="single" w:color="BFBFBF" w:sz="1"/>
            </w:tcBorders>
            <w:shd w:fill="EBF1DE" w:val="clear"/>
            <w:tcMar>
              <w:top w:type="dxa" w:w="80"/>
              <w:left w:type="dxa" w:w="160"/>
              <w:bottom w:type="dxa" w:w="80"/>
              <w:right w:type="dxa" w:w="160"/>
            </w:tcMar>
          </w:tcPr>
          <w:p>
            <w:r>
              <w:rPr>
                <w:rFonts w:ascii="Arial" w:cs="Arial" w:eastAsia="Arial" w:hAnsi="Arial"/>
                <w:color w:val="333333"/>
                <w:sz w:val="18"/>
                <w:szCs w:val="18"/>
              </w:rPr>
              <w:t xml:space="preserve">Introduce a formal Productivity Gain-Share clause: if Supplier's manufacturing cost per module falls by more than X% in a given year, a defined portion (e.g., 40–60%) is shared with Buyer through price reductions. Both parties then have aligned incentives to invest in efficiency. Buyer might even co-invest in Supplier's automation.</w:t>
            </w:r>
          </w:p>
        </w:tc>
      </w:tr>
    </w:tbl>
    <w:p>
      <w:pPr>
        <w:spacing w:after="0" w:before="120"/>
      </w:pPr>
    </w:p>
    <w:p>
      <w:pPr>
        <w:shd w:fill="1F3864" w:val="clear"/>
        <w:spacing w:after="0" w:before="380"/>
        <w:ind w:left="160" w:right="160"/>
      </w:pPr>
      <w:r>
        <w:rPr>
          <w:rFonts w:ascii="Arial" w:cs="Arial" w:eastAsia="Arial" w:hAnsi="Arial"/>
          <w:b/>
          <w:bCs/>
          <w:color w:val="FFFFFF"/>
          <w:sz w:val="26"/>
          <w:szCs w:val="26"/>
        </w:rPr>
        <w:t xml:space="preserve">2 · FORECASTING &amp; VOLUME COMMITMENT (§7–8)</w:t>
      </w:r>
    </w:p>
    <w:p>
      <w:pPr>
        <w:spacing w:after="0" w:before="160"/>
      </w:pPr>
    </w:p>
    <w:p>
      <w:pPr>
        <w:pBdr>
          <w:bottom w:val="single" w:color="2E75B6" w:sz="6" w:space="1"/>
        </w:pBdr>
        <w:spacing w:after="80" w:before="260"/>
      </w:pPr>
      <w:r>
        <w:rPr>
          <w:rFonts w:ascii="Arial" w:cs="Arial" w:eastAsia="Arial" w:hAnsi="Arial"/>
          <w:b/>
          <w:bCs/>
          <w:color w:val="2E75B6"/>
          <w:sz w:val="22"/>
          <w:szCs w:val="22"/>
        </w:rPr>
        <w:t xml:space="preserve">The Positional Pattern</w:t>
      </w:r>
    </w:p>
    <w:p>
      <w:pPr>
        <w:spacing w:after="60" w:before="60"/>
      </w:pPr>
      <w:r>
        <w:rPr>
          <w:rFonts w:ascii="Arial" w:cs="Arial" w:eastAsia="Arial" w:hAnsi="Arial"/>
          <w:color w:val="595959"/>
          <w:sz w:val="20"/>
          <w:szCs w:val="20"/>
        </w:rPr>
        <w:t xml:space="preserve">The forecasting architecture places nearly all planning risk on Supplier while giving Buyer maximum flexibility. The 3-month binding window is short relative to the capital and material lead times required for battery manufacturing. The absence of any volume guarantee amplifies this imbalance significantly.</w:t>
      </w:r>
    </w:p>
    <w:p>
      <w:pPr>
        <w:spacing w:after="0" w:before="100"/>
      </w:pP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2000"/>
        <w:gridCol w:w="7200"/>
      </w:tblGrid>
      <w:tr>
        <w:tc>
          <w:tcPr>
            <w:tcW w:type="dxa" w:w="9200"/>
            <w:gridSpan w:val="2"/>
            <w:tcBorders>
              <w:top w:val="single" w:color="BFBFBF" w:sz="1"/>
              <w:left w:val="single" w:color="BFBFBF" w:sz="1"/>
              <w:bottom w:val="single" w:color="BFBFBF" w:sz="1"/>
              <w:right w:val="single" w:color="BFBFBF" w:sz="1"/>
            </w:tcBorders>
            <w:shd w:fill="FFF2CC" w:val="clear"/>
            <w:tcMar>
              <w:top w:type="dxa" w:w="80"/>
              <w:left w:type="dxa" w:w="160"/>
              <w:bottom w:type="dxa" w:w="80"/>
              <w:right w:type="dxa" w:w="160"/>
            </w:tcMar>
          </w:tcPr>
          <w:p>
            <w:r>
              <w:rPr>
                <w:rFonts w:ascii="Arial" w:cs="Arial" w:eastAsia="Arial" w:hAnsi="Arial"/>
                <w:b/>
                <w:bCs/>
                <w:color w:val="C9A227"/>
                <w:sz w:val="20"/>
                <w:szCs w:val="20"/>
              </w:rPr>
              <w:t xml:space="preserve">§7  </w:t>
            </w:r>
            <w:r>
              <w:rPr>
                <w:rFonts w:ascii="Arial" w:cs="Arial" w:eastAsia="Arial" w:hAnsi="Arial"/>
                <w:b/>
                <w:bCs/>
                <w:color w:val="222222"/>
                <w:sz w:val="20"/>
                <w:szCs w:val="20"/>
              </w:rPr>
              <w:t xml:space="preserve">No Minimum Volume Guarantee</w:t>
            </w:r>
          </w:p>
        </w:tc>
      </w:tr>
      <w:tr>
        <w:tc>
          <w:tcPr>
            <w:tcW w:type="dxa" w:w="2000"/>
            <w:tcBorders>
              <w:top w:val="single" w:color="BFBFBF" w:sz="1"/>
              <w:left w:val="single" w:color="BFBFBF" w:sz="1"/>
              <w:bottom w:val="single" w:color="BFBFBF" w:sz="1"/>
              <w:right w:val="single" w:color="BFBFBF" w:sz="1"/>
            </w:tcBorders>
            <w:shd w:fill="F2F2F2" w:val="clear"/>
            <w:tcMar>
              <w:top w:type="dxa" w:w="80"/>
              <w:left w:type="dxa" w:w="160"/>
              <w:bottom w:type="dxa" w:w="80"/>
              <w:right w:type="dxa" w:w="160"/>
            </w:tcMar>
          </w:tcPr>
          <w:p>
            <w:r>
              <w:rPr>
                <w:rFonts w:ascii="Arial" w:cs="Arial" w:eastAsia="Arial" w:hAnsi="Arial"/>
                <w:b/>
                <w:bCs/>
                <w:color w:val="333333"/>
                <w:sz w:val="18"/>
                <w:szCs w:val="18"/>
              </w:rPr>
              <w:t xml:space="preserve">What it says</w:t>
            </w:r>
          </w:p>
        </w:tc>
        <w:tc>
          <w:tcPr>
            <w:tcW w:type="dxa" w:w="7200"/>
            <w:tcBorders>
              <w:top w:val="single" w:color="BFBFBF" w:sz="1"/>
              <w:left w:val="single" w:color="BFBFBF" w:sz="1"/>
              <w:bottom w:val="single" w:color="BFBFBF" w:sz="1"/>
              <w:right w:val="single" w:color="BFBFBF" w:sz="1"/>
            </w:tcBorders>
            <w:shd w:fill="FFFFFF" w:val="clear"/>
            <w:tcMar>
              <w:top w:type="dxa" w:w="80"/>
              <w:left w:type="dxa" w:w="160"/>
              <w:bottom w:type="dxa" w:w="80"/>
              <w:right w:type="dxa" w:w="160"/>
            </w:tcMar>
          </w:tcPr>
          <w:p>
            <w:r>
              <w:rPr>
                <w:rFonts w:ascii="Arial" w:cs="Arial" w:eastAsia="Arial" w:hAnsi="Arial"/>
                <w:color w:val="333333"/>
                <w:sz w:val="18"/>
                <w:szCs w:val="18"/>
              </w:rPr>
              <w:t xml:space="preserve">'Unless otherwise specified, Buyer does not guarantee minimum purchase volumes.' Estimated volume is 500,000 modules/year but this is a planning estimate only.</w:t>
            </w:r>
          </w:p>
        </w:tc>
      </w:tr>
      <w:tr>
        <w:tc>
          <w:tcPr>
            <w:tcW w:type="dxa" w:w="2000"/>
            <w:tcBorders>
              <w:top w:val="single" w:color="BFBFBF" w:sz="1"/>
              <w:left w:val="single" w:color="BFBFBF" w:sz="1"/>
              <w:bottom w:val="single" w:color="BFBFBF" w:sz="1"/>
              <w:right w:val="single" w:color="BFBFBF" w:sz="1"/>
            </w:tcBorders>
            <w:shd w:fill="F2F2F2" w:val="clear"/>
            <w:tcMar>
              <w:top w:type="dxa" w:w="80"/>
              <w:left w:type="dxa" w:w="160"/>
              <w:bottom w:type="dxa" w:w="80"/>
              <w:right w:type="dxa" w:w="160"/>
            </w:tcMar>
          </w:tcPr>
          <w:p>
            <w:r>
              <w:rPr>
                <w:rFonts w:ascii="Arial" w:cs="Arial" w:eastAsia="Arial" w:hAnsi="Arial"/>
                <w:b/>
                <w:bCs/>
                <w:color w:val="333333"/>
                <w:sz w:val="18"/>
                <w:szCs w:val="18"/>
              </w:rPr>
              <w:t xml:space="preserve">Why it's positional</w:t>
            </w:r>
          </w:p>
        </w:tc>
        <w:tc>
          <w:tcPr>
            <w:tcW w:type="dxa" w:w="7200"/>
            <w:tcBorders>
              <w:top w:val="single" w:color="BFBFBF" w:sz="1"/>
              <w:left w:val="single" w:color="BFBFBF" w:sz="1"/>
              <w:bottom w:val="single" w:color="BFBFBF" w:sz="1"/>
              <w:right w:val="single" w:color="BFBFBF" w:sz="1"/>
            </w:tcBorders>
            <w:shd w:fill="FFF2CC" w:val="clear"/>
            <w:tcMar>
              <w:top w:type="dxa" w:w="80"/>
              <w:left w:type="dxa" w:w="160"/>
              <w:bottom w:type="dxa" w:w="80"/>
              <w:right w:type="dxa" w:w="160"/>
            </w:tcMar>
          </w:tcPr>
          <w:p>
            <w:r>
              <w:rPr>
                <w:rFonts w:ascii="Arial" w:cs="Arial" w:eastAsia="Arial" w:hAnsi="Arial"/>
                <w:color w:val="333333"/>
                <w:sz w:val="18"/>
                <w:szCs w:val="18"/>
              </w:rPr>
              <w:t xml:space="preserve">Voltatek must invest in manufacturing capacity, raw material supply chains, and workforce to serve Aurora's estimated 500,000 units/year — with zero contractual obligation from Aurora to actually purchase that volume. This is a one-sided risk transfer of the highest order. If Aurora's vehicle sales underperform, Voltatek absorbs the entire commercial consequence.</w:t>
            </w:r>
          </w:p>
        </w:tc>
      </w:tr>
      <w:tr>
        <w:tc>
          <w:tcPr>
            <w:tcW w:type="dxa" w:w="2000"/>
            <w:tcBorders>
              <w:top w:val="single" w:color="BFBFBF" w:sz="1"/>
              <w:left w:val="single" w:color="BFBFBF" w:sz="1"/>
              <w:bottom w:val="single" w:color="BFBFBF" w:sz="1"/>
              <w:right w:val="single" w:color="BFBFBF" w:sz="1"/>
            </w:tcBorders>
            <w:shd w:fill="F2F2F2" w:val="clear"/>
            <w:tcMar>
              <w:top w:type="dxa" w:w="80"/>
              <w:left w:type="dxa" w:w="160"/>
              <w:bottom w:type="dxa" w:w="80"/>
              <w:right w:type="dxa" w:w="160"/>
            </w:tcMar>
          </w:tcPr>
          <w:p>
            <w:r>
              <w:rPr>
                <w:rFonts w:ascii="Arial" w:cs="Arial" w:eastAsia="Arial" w:hAnsi="Arial"/>
                <w:b/>
                <w:bCs/>
                <w:color w:val="333333"/>
                <w:sz w:val="18"/>
                <w:szCs w:val="18"/>
              </w:rPr>
              <w:t xml:space="preserve">SMARTnership reframe</w:t>
            </w:r>
          </w:p>
        </w:tc>
        <w:tc>
          <w:tcPr>
            <w:tcW w:type="dxa" w:w="7200"/>
            <w:tcBorders>
              <w:top w:val="single" w:color="BFBFBF" w:sz="1"/>
              <w:left w:val="single" w:color="BFBFBF" w:sz="1"/>
              <w:bottom w:val="single" w:color="BFBFBF" w:sz="1"/>
              <w:right w:val="single" w:color="BFBFBF" w:sz="1"/>
            </w:tcBorders>
            <w:shd w:fill="EBF1DE" w:val="clear"/>
            <w:tcMar>
              <w:top w:type="dxa" w:w="80"/>
              <w:left w:type="dxa" w:w="160"/>
              <w:bottom w:type="dxa" w:w="80"/>
              <w:right w:type="dxa" w:w="160"/>
            </w:tcMar>
          </w:tcPr>
          <w:p>
            <w:r>
              <w:rPr>
                <w:rFonts w:ascii="Arial" w:cs="Arial" w:eastAsia="Arial" w:hAnsi="Arial"/>
                <w:color w:val="333333"/>
                <w:sz w:val="18"/>
                <w:szCs w:val="18"/>
              </w:rPr>
              <w:t xml:space="preserve">Introduce tiered volume commitments: a minimum annual purchase floor (e.g., 70% of forecast) with a defined financial adjustment if Aurora falls below. In exchange, Aurora gains priority capacity rights if it exceeds forecast. This is the SMARTnership 'Third Road' — not Aurora demanding flexibility, not Voltatek demanding certainty, but a shared risk corridor where both parties win or adjust together.</w:t>
            </w:r>
          </w:p>
        </w:tc>
      </w:tr>
    </w:tbl>
    <w:p>
      <w:pPr>
        <w:spacing w:after="0" w:before="80"/>
      </w:pP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2000"/>
        <w:gridCol w:w="7200"/>
      </w:tblGrid>
      <w:tr>
        <w:tc>
          <w:tcPr>
            <w:tcW w:type="dxa" w:w="9200"/>
            <w:gridSpan w:val="2"/>
            <w:tcBorders>
              <w:top w:val="single" w:color="BFBFBF" w:sz="1"/>
              <w:left w:val="single" w:color="BFBFBF" w:sz="1"/>
              <w:bottom w:val="single" w:color="BFBFBF" w:sz="1"/>
              <w:right w:val="single" w:color="BFBFBF" w:sz="1"/>
            </w:tcBorders>
            <w:shd w:fill="FFF2CC" w:val="clear"/>
            <w:tcMar>
              <w:top w:type="dxa" w:w="80"/>
              <w:left w:type="dxa" w:w="160"/>
              <w:bottom w:type="dxa" w:w="80"/>
              <w:right w:type="dxa" w:w="160"/>
            </w:tcMar>
          </w:tcPr>
          <w:p>
            <w:r>
              <w:rPr>
                <w:rFonts w:ascii="Arial" w:cs="Arial" w:eastAsia="Arial" w:hAnsi="Arial"/>
                <w:b/>
                <w:bCs/>
                <w:color w:val="C9A227"/>
                <w:sz w:val="20"/>
                <w:szCs w:val="20"/>
              </w:rPr>
              <w:t xml:space="preserve">§8  </w:t>
            </w:r>
            <w:r>
              <w:rPr>
                <w:rFonts w:ascii="Arial" w:cs="Arial" w:eastAsia="Arial" w:hAnsi="Arial"/>
                <w:b/>
                <w:bCs/>
                <w:color w:val="222222"/>
                <w:sz w:val="20"/>
                <w:szCs w:val="20"/>
              </w:rPr>
              <w:t xml:space="preserve">Binding Forecast Period — 3 Months Only</w:t>
            </w:r>
          </w:p>
        </w:tc>
      </w:tr>
      <w:tr>
        <w:tc>
          <w:tcPr>
            <w:tcW w:type="dxa" w:w="2000"/>
            <w:tcBorders>
              <w:top w:val="single" w:color="BFBFBF" w:sz="1"/>
              <w:left w:val="single" w:color="BFBFBF" w:sz="1"/>
              <w:bottom w:val="single" w:color="BFBFBF" w:sz="1"/>
              <w:right w:val="single" w:color="BFBFBF" w:sz="1"/>
            </w:tcBorders>
            <w:shd w:fill="F2F2F2" w:val="clear"/>
            <w:tcMar>
              <w:top w:type="dxa" w:w="80"/>
              <w:left w:type="dxa" w:w="160"/>
              <w:bottom w:type="dxa" w:w="80"/>
              <w:right w:type="dxa" w:w="160"/>
            </w:tcMar>
          </w:tcPr>
          <w:p>
            <w:r>
              <w:rPr>
                <w:rFonts w:ascii="Arial" w:cs="Arial" w:eastAsia="Arial" w:hAnsi="Arial"/>
                <w:b/>
                <w:bCs/>
                <w:color w:val="333333"/>
                <w:sz w:val="18"/>
                <w:szCs w:val="18"/>
              </w:rPr>
              <w:t xml:space="preserve">What it says</w:t>
            </w:r>
          </w:p>
        </w:tc>
        <w:tc>
          <w:tcPr>
            <w:tcW w:type="dxa" w:w="7200"/>
            <w:tcBorders>
              <w:top w:val="single" w:color="BFBFBF" w:sz="1"/>
              <w:left w:val="single" w:color="BFBFBF" w:sz="1"/>
              <w:bottom w:val="single" w:color="BFBFBF" w:sz="1"/>
              <w:right w:val="single" w:color="BFBFBF" w:sz="1"/>
            </w:tcBorders>
            <w:shd w:fill="FFFFFF" w:val="clear"/>
            <w:tcMar>
              <w:top w:type="dxa" w:w="80"/>
              <w:left w:type="dxa" w:w="160"/>
              <w:bottom w:type="dxa" w:w="80"/>
              <w:right w:type="dxa" w:w="160"/>
            </w:tcMar>
          </w:tcPr>
          <w:p>
            <w:r>
              <w:rPr>
                <w:rFonts w:ascii="Arial" w:cs="Arial" w:eastAsia="Arial" w:hAnsi="Arial"/>
                <w:color w:val="333333"/>
                <w:sz w:val="18"/>
                <w:szCs w:val="18"/>
              </w:rPr>
              <w:t xml:space="preserve">Only the first 3 months of the rolling 12-month forecast are binding. Months 4–12 are non-binding planning estimates.</w:t>
            </w:r>
          </w:p>
        </w:tc>
      </w:tr>
      <w:tr>
        <w:tc>
          <w:tcPr>
            <w:tcW w:type="dxa" w:w="2000"/>
            <w:tcBorders>
              <w:top w:val="single" w:color="BFBFBF" w:sz="1"/>
              <w:left w:val="single" w:color="BFBFBF" w:sz="1"/>
              <w:bottom w:val="single" w:color="BFBFBF" w:sz="1"/>
              <w:right w:val="single" w:color="BFBFBF" w:sz="1"/>
            </w:tcBorders>
            <w:shd w:fill="F2F2F2" w:val="clear"/>
            <w:tcMar>
              <w:top w:type="dxa" w:w="80"/>
              <w:left w:type="dxa" w:w="160"/>
              <w:bottom w:type="dxa" w:w="80"/>
              <w:right w:type="dxa" w:w="160"/>
            </w:tcMar>
          </w:tcPr>
          <w:p>
            <w:r>
              <w:rPr>
                <w:rFonts w:ascii="Arial" w:cs="Arial" w:eastAsia="Arial" w:hAnsi="Arial"/>
                <w:b/>
                <w:bCs/>
                <w:color w:val="333333"/>
                <w:sz w:val="18"/>
                <w:szCs w:val="18"/>
              </w:rPr>
              <w:t xml:space="preserve">Why it's positional</w:t>
            </w:r>
          </w:p>
        </w:tc>
        <w:tc>
          <w:tcPr>
            <w:tcW w:type="dxa" w:w="7200"/>
            <w:tcBorders>
              <w:top w:val="single" w:color="BFBFBF" w:sz="1"/>
              <w:left w:val="single" w:color="BFBFBF" w:sz="1"/>
              <w:bottom w:val="single" w:color="BFBFBF" w:sz="1"/>
              <w:right w:val="single" w:color="BFBFBF" w:sz="1"/>
            </w:tcBorders>
            <w:shd w:fill="FFF2CC" w:val="clear"/>
            <w:tcMar>
              <w:top w:type="dxa" w:w="80"/>
              <w:left w:type="dxa" w:w="160"/>
              <w:bottom w:type="dxa" w:w="80"/>
              <w:right w:type="dxa" w:w="160"/>
            </w:tcMar>
          </w:tcPr>
          <w:p>
            <w:r>
              <w:rPr>
                <w:rFonts w:ascii="Arial" w:cs="Arial" w:eastAsia="Arial" w:hAnsi="Arial"/>
                <w:color w:val="333333"/>
                <w:sz w:val="18"/>
                <w:szCs w:val="18"/>
              </w:rPr>
              <w:t xml:space="preserve">Battery cells, specialty materials, and production capacity require 6–12 months of lead time. A 3-month binding window forces Supplier into a permanent state of speculative investment. Simultaneously, Buyer has near-total flexibility to revise demand with minimal notice — a structural imbalance that positions Buyer as dominant and Supplier as perpetually exposed.</w:t>
            </w:r>
          </w:p>
        </w:tc>
      </w:tr>
      <w:tr>
        <w:tc>
          <w:tcPr>
            <w:tcW w:type="dxa" w:w="2000"/>
            <w:tcBorders>
              <w:top w:val="single" w:color="BFBFBF" w:sz="1"/>
              <w:left w:val="single" w:color="BFBFBF" w:sz="1"/>
              <w:bottom w:val="single" w:color="BFBFBF" w:sz="1"/>
              <w:right w:val="single" w:color="BFBFBF" w:sz="1"/>
            </w:tcBorders>
            <w:shd w:fill="F2F2F2" w:val="clear"/>
            <w:tcMar>
              <w:top w:type="dxa" w:w="80"/>
              <w:left w:type="dxa" w:w="160"/>
              <w:bottom w:type="dxa" w:w="80"/>
              <w:right w:type="dxa" w:w="160"/>
            </w:tcMar>
          </w:tcPr>
          <w:p>
            <w:r>
              <w:rPr>
                <w:rFonts w:ascii="Arial" w:cs="Arial" w:eastAsia="Arial" w:hAnsi="Arial"/>
                <w:b/>
                <w:bCs/>
                <w:color w:val="333333"/>
                <w:sz w:val="18"/>
                <w:szCs w:val="18"/>
              </w:rPr>
              <w:t xml:space="preserve">SMARTnership reframe</w:t>
            </w:r>
          </w:p>
        </w:tc>
        <w:tc>
          <w:tcPr>
            <w:tcW w:type="dxa" w:w="7200"/>
            <w:tcBorders>
              <w:top w:val="single" w:color="BFBFBF" w:sz="1"/>
              <w:left w:val="single" w:color="BFBFBF" w:sz="1"/>
              <w:bottom w:val="single" w:color="BFBFBF" w:sz="1"/>
              <w:right w:val="single" w:color="BFBFBF" w:sz="1"/>
            </w:tcBorders>
            <w:shd w:fill="EBF1DE" w:val="clear"/>
            <w:tcMar>
              <w:top w:type="dxa" w:w="80"/>
              <w:left w:type="dxa" w:w="160"/>
              <w:bottom w:type="dxa" w:w="80"/>
              <w:right w:type="dxa" w:w="160"/>
            </w:tcMar>
          </w:tcPr>
          <w:p>
            <w:r>
              <w:rPr>
                <w:rFonts w:ascii="Arial" w:cs="Arial" w:eastAsia="Arial" w:hAnsi="Arial"/>
                <w:color w:val="333333"/>
                <w:sz w:val="18"/>
                <w:szCs w:val="18"/>
              </w:rPr>
              <w:t xml:space="preserve">Extend the binding window to reflect actual supply chain reality — consider a tiered structure: months 1–3 fully binding (100%), months 4–6 partially binding (e.g., 70%), months 7–12 directional but informing joint capacity planning. Couple this with a shared S&amp;OP (Sales &amp; Operations Planning) process — joint monthly reviews of demand signals, production constraints, and market conditions.</w:t>
            </w:r>
          </w:p>
        </w:tc>
      </w:tr>
    </w:tbl>
    <w:p>
      <w:pPr>
        <w:spacing w:after="0" w:before="120"/>
      </w:pPr>
    </w:p>
    <w:p>
      <w:pPr>
        <w:shd w:fill="1F3864" w:val="clear"/>
        <w:spacing w:after="0" w:before="380"/>
        <w:ind w:left="160" w:right="160"/>
      </w:pPr>
      <w:r>
        <w:rPr>
          <w:rFonts w:ascii="Arial" w:cs="Arial" w:eastAsia="Arial" w:hAnsi="Arial"/>
          <w:b/>
          <w:bCs/>
          <w:color w:val="FFFFFF"/>
          <w:sz w:val="26"/>
          <w:szCs w:val="26"/>
        </w:rPr>
        <w:t xml:space="preserve">3 · LOGISTICS, DELIVERY &amp; RISK TRANSFER (§15–18, §50)</w:t>
      </w:r>
    </w:p>
    <w:p>
      <w:pPr>
        <w:spacing w:after="0" w:before="160"/>
      </w:pPr>
    </w:p>
    <w:p>
      <w:pPr>
        <w:pBdr>
          <w:bottom w:val="single" w:color="2E75B6" w:sz="6" w:space="1"/>
        </w:pBdr>
        <w:spacing w:after="80" w:before="260"/>
      </w:pPr>
      <w:r>
        <w:rPr>
          <w:rFonts w:ascii="Arial" w:cs="Arial" w:eastAsia="Arial" w:hAnsi="Arial"/>
          <w:b/>
          <w:bCs/>
          <w:color w:val="2E75B6"/>
          <w:sz w:val="22"/>
          <w:szCs w:val="22"/>
        </w:rPr>
        <w:t xml:space="preserve">The Positional Pattern</w:t>
      </w:r>
    </w:p>
    <w:p>
      <w:pPr>
        <w:spacing w:after="60" w:before="60"/>
      </w:pPr>
      <w:r>
        <w:rPr>
          <w:rFonts w:ascii="Arial" w:cs="Arial" w:eastAsia="Arial" w:hAnsi="Arial"/>
          <w:color w:val="595959"/>
          <w:sz w:val="20"/>
          <w:szCs w:val="20"/>
        </w:rPr>
        <w:t xml:space="preserve">The EXW delivery terms and 72-hour collection window are designed entirely around Supplier's convenience — pushing all logistics risk, cost, and operational burden onto Buyer immediately at the factory gate. The storage fee clause adds a financial penalty on top.</w:t>
      </w:r>
    </w:p>
    <w:p>
      <w:pPr>
        <w:spacing w:after="0" w:before="100"/>
      </w:pP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2000"/>
        <w:gridCol w:w="7200"/>
      </w:tblGrid>
      <w:tr>
        <w:tc>
          <w:tcPr>
            <w:tcW w:type="dxa" w:w="9200"/>
            <w:gridSpan w:val="2"/>
            <w:tcBorders>
              <w:top w:val="single" w:color="BFBFBF" w:sz="1"/>
              <w:left w:val="single" w:color="BFBFBF" w:sz="1"/>
              <w:bottom w:val="single" w:color="BFBFBF" w:sz="1"/>
              <w:right w:val="single" w:color="BFBFBF" w:sz="1"/>
            </w:tcBorders>
            <w:shd w:fill="FFF2CC" w:val="clear"/>
            <w:tcMar>
              <w:top w:type="dxa" w:w="80"/>
              <w:left w:type="dxa" w:w="160"/>
              <w:bottom w:type="dxa" w:w="80"/>
              <w:right w:type="dxa" w:w="160"/>
            </w:tcMar>
          </w:tcPr>
          <w:p>
            <w:r>
              <w:rPr>
                <w:rFonts w:ascii="Arial" w:cs="Arial" w:eastAsia="Arial" w:hAnsi="Arial"/>
                <w:b/>
                <w:bCs/>
                <w:color w:val="C9A227"/>
                <w:sz w:val="20"/>
                <w:szCs w:val="20"/>
              </w:rPr>
              <w:t xml:space="preserve">§15–16  </w:t>
            </w:r>
            <w:r>
              <w:rPr>
                <w:rFonts w:ascii="Arial" w:cs="Arial" w:eastAsia="Arial" w:hAnsi="Arial"/>
                <w:b/>
                <w:bCs/>
                <w:color w:val="222222"/>
                <w:sz w:val="20"/>
                <w:szCs w:val="20"/>
              </w:rPr>
              <w:t xml:space="preserve">EXW Delivery — Full Risk to Buyer at Factory Gate</w:t>
            </w:r>
          </w:p>
        </w:tc>
      </w:tr>
      <w:tr>
        <w:tc>
          <w:tcPr>
            <w:tcW w:type="dxa" w:w="2000"/>
            <w:tcBorders>
              <w:top w:val="single" w:color="BFBFBF" w:sz="1"/>
              <w:left w:val="single" w:color="BFBFBF" w:sz="1"/>
              <w:bottom w:val="single" w:color="BFBFBF" w:sz="1"/>
              <w:right w:val="single" w:color="BFBFBF" w:sz="1"/>
            </w:tcBorders>
            <w:shd w:fill="F2F2F2" w:val="clear"/>
            <w:tcMar>
              <w:top w:type="dxa" w:w="80"/>
              <w:left w:type="dxa" w:w="160"/>
              <w:bottom w:type="dxa" w:w="80"/>
              <w:right w:type="dxa" w:w="160"/>
            </w:tcMar>
          </w:tcPr>
          <w:p>
            <w:r>
              <w:rPr>
                <w:rFonts w:ascii="Arial" w:cs="Arial" w:eastAsia="Arial" w:hAnsi="Arial"/>
                <w:b/>
                <w:bCs/>
                <w:color w:val="333333"/>
                <w:sz w:val="18"/>
                <w:szCs w:val="18"/>
              </w:rPr>
              <w:t xml:space="preserve">What it says</w:t>
            </w:r>
          </w:p>
        </w:tc>
        <w:tc>
          <w:tcPr>
            <w:tcW w:type="dxa" w:w="7200"/>
            <w:tcBorders>
              <w:top w:val="single" w:color="BFBFBF" w:sz="1"/>
              <w:left w:val="single" w:color="BFBFBF" w:sz="1"/>
              <w:bottom w:val="single" w:color="BFBFBF" w:sz="1"/>
              <w:right w:val="single" w:color="BFBFBF" w:sz="1"/>
            </w:tcBorders>
            <w:shd w:fill="FFFFFF" w:val="clear"/>
            <w:tcMar>
              <w:top w:type="dxa" w:w="80"/>
              <w:left w:type="dxa" w:w="160"/>
              <w:bottom w:type="dxa" w:w="80"/>
              <w:right w:type="dxa" w:w="160"/>
            </w:tcMar>
          </w:tcPr>
          <w:p>
            <w:r>
              <w:rPr>
                <w:rFonts w:ascii="Arial" w:cs="Arial" w:eastAsia="Arial" w:hAnsi="Arial"/>
                <w:color w:val="333333"/>
                <w:sz w:val="18"/>
                <w:szCs w:val="18"/>
              </w:rPr>
              <w:t xml:space="preserve">Delivery is Ex Works (EXW) Austin, Texas. Risk transfers to Buyer the moment goods are handed to Buyer's carrier. Buyer arranges and pays for all transportation.</w:t>
            </w:r>
          </w:p>
        </w:tc>
      </w:tr>
      <w:tr>
        <w:tc>
          <w:tcPr>
            <w:tcW w:type="dxa" w:w="2000"/>
            <w:tcBorders>
              <w:top w:val="single" w:color="BFBFBF" w:sz="1"/>
              <w:left w:val="single" w:color="BFBFBF" w:sz="1"/>
              <w:bottom w:val="single" w:color="BFBFBF" w:sz="1"/>
              <w:right w:val="single" w:color="BFBFBF" w:sz="1"/>
            </w:tcBorders>
            <w:shd w:fill="F2F2F2" w:val="clear"/>
            <w:tcMar>
              <w:top w:type="dxa" w:w="80"/>
              <w:left w:type="dxa" w:w="160"/>
              <w:bottom w:type="dxa" w:w="80"/>
              <w:right w:type="dxa" w:w="160"/>
            </w:tcMar>
          </w:tcPr>
          <w:p>
            <w:r>
              <w:rPr>
                <w:rFonts w:ascii="Arial" w:cs="Arial" w:eastAsia="Arial" w:hAnsi="Arial"/>
                <w:b/>
                <w:bCs/>
                <w:color w:val="333333"/>
                <w:sz w:val="18"/>
                <w:szCs w:val="18"/>
              </w:rPr>
              <w:t xml:space="preserve">Why it's positional</w:t>
            </w:r>
          </w:p>
        </w:tc>
        <w:tc>
          <w:tcPr>
            <w:tcW w:type="dxa" w:w="7200"/>
            <w:tcBorders>
              <w:top w:val="single" w:color="BFBFBF" w:sz="1"/>
              <w:left w:val="single" w:color="BFBFBF" w:sz="1"/>
              <w:bottom w:val="single" w:color="BFBFBF" w:sz="1"/>
              <w:right w:val="single" w:color="BFBFBF" w:sz="1"/>
            </w:tcBorders>
            <w:shd w:fill="FFF2CC" w:val="clear"/>
            <w:tcMar>
              <w:top w:type="dxa" w:w="80"/>
              <w:left w:type="dxa" w:w="160"/>
              <w:bottom w:type="dxa" w:w="80"/>
              <w:right w:type="dxa" w:w="160"/>
            </w:tcMar>
          </w:tcPr>
          <w:p>
            <w:r>
              <w:rPr>
                <w:rFonts w:ascii="Arial" w:cs="Arial" w:eastAsia="Arial" w:hAnsi="Arial"/>
                <w:color w:val="333333"/>
                <w:sz w:val="18"/>
                <w:szCs w:val="18"/>
              </w:rPr>
              <w:t xml:space="preserve">EXW is the most supplier-favourable Incoterm. It is appropriate when Buyer has superior logistics capability — but when Buyer is operating from Michigan and collecting from Austin in large quantities, this creates significant operational asymmetry. More importantly, it eliminates any Supplier stake in the safe, timely arrival of the product, which conflicts with the quality partnership the contract otherwise claims to seek.</w:t>
            </w:r>
          </w:p>
        </w:tc>
      </w:tr>
      <w:tr>
        <w:tc>
          <w:tcPr>
            <w:tcW w:type="dxa" w:w="2000"/>
            <w:tcBorders>
              <w:top w:val="single" w:color="BFBFBF" w:sz="1"/>
              <w:left w:val="single" w:color="BFBFBF" w:sz="1"/>
              <w:bottom w:val="single" w:color="BFBFBF" w:sz="1"/>
              <w:right w:val="single" w:color="BFBFBF" w:sz="1"/>
            </w:tcBorders>
            <w:shd w:fill="F2F2F2" w:val="clear"/>
            <w:tcMar>
              <w:top w:type="dxa" w:w="80"/>
              <w:left w:type="dxa" w:w="160"/>
              <w:bottom w:type="dxa" w:w="80"/>
              <w:right w:type="dxa" w:w="160"/>
            </w:tcMar>
          </w:tcPr>
          <w:p>
            <w:r>
              <w:rPr>
                <w:rFonts w:ascii="Arial" w:cs="Arial" w:eastAsia="Arial" w:hAnsi="Arial"/>
                <w:b/>
                <w:bCs/>
                <w:color w:val="333333"/>
                <w:sz w:val="18"/>
                <w:szCs w:val="18"/>
              </w:rPr>
              <w:t xml:space="preserve">SMARTnership reframe</w:t>
            </w:r>
          </w:p>
        </w:tc>
        <w:tc>
          <w:tcPr>
            <w:tcW w:type="dxa" w:w="7200"/>
            <w:tcBorders>
              <w:top w:val="single" w:color="BFBFBF" w:sz="1"/>
              <w:left w:val="single" w:color="BFBFBF" w:sz="1"/>
              <w:bottom w:val="single" w:color="BFBFBF" w:sz="1"/>
              <w:right w:val="single" w:color="BFBFBF" w:sz="1"/>
            </w:tcBorders>
            <w:shd w:fill="EBF1DE" w:val="clear"/>
            <w:tcMar>
              <w:top w:type="dxa" w:w="80"/>
              <w:left w:type="dxa" w:w="160"/>
              <w:bottom w:type="dxa" w:w="80"/>
              <w:right w:type="dxa" w:w="160"/>
            </w:tcMar>
          </w:tcPr>
          <w:p>
            <w:r>
              <w:rPr>
                <w:rFonts w:ascii="Arial" w:cs="Arial" w:eastAsia="Arial" w:hAnsi="Arial"/>
                <w:color w:val="333333"/>
                <w:sz w:val="18"/>
                <w:szCs w:val="18"/>
              </w:rPr>
              <w:t xml:space="preserve">Consider shifting to DAP (Delivered at Place) or FCA (Free Carrier), where Supplier retains responsibility to a named logistics point closer to Aurora's Michigan operations. Alternatively, create a Joint Logistics Working Group that co-designs the transportation model — potentially sharing logistics infrastructure, consolidating shipments, and creating resilience together. Supplier's skin in the game post-production creates stronger quality accountability.</w:t>
            </w:r>
          </w:p>
        </w:tc>
      </w:tr>
    </w:tbl>
    <w:p>
      <w:pPr>
        <w:spacing w:after="0" w:before="80"/>
      </w:pP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2000"/>
        <w:gridCol w:w="7200"/>
      </w:tblGrid>
      <w:tr>
        <w:tc>
          <w:tcPr>
            <w:tcW w:type="dxa" w:w="9200"/>
            <w:gridSpan w:val="2"/>
            <w:tcBorders>
              <w:top w:val="single" w:color="BFBFBF" w:sz="1"/>
              <w:left w:val="single" w:color="BFBFBF" w:sz="1"/>
              <w:bottom w:val="single" w:color="BFBFBF" w:sz="1"/>
              <w:right w:val="single" w:color="BFBFBF" w:sz="1"/>
            </w:tcBorders>
            <w:shd w:fill="FFF2CC" w:val="clear"/>
            <w:tcMar>
              <w:top w:type="dxa" w:w="80"/>
              <w:left w:type="dxa" w:w="160"/>
              <w:bottom w:type="dxa" w:w="80"/>
              <w:right w:type="dxa" w:w="160"/>
            </w:tcMar>
          </w:tcPr>
          <w:p>
            <w:r>
              <w:rPr>
                <w:rFonts w:ascii="Arial" w:cs="Arial" w:eastAsia="Arial" w:hAnsi="Arial"/>
                <w:b/>
                <w:bCs/>
                <w:color w:val="C9A227"/>
                <w:sz w:val="20"/>
                <w:szCs w:val="20"/>
              </w:rPr>
              <w:t xml:space="preserve">§50  </w:t>
            </w:r>
            <w:r>
              <w:rPr>
                <w:rFonts w:ascii="Arial" w:cs="Arial" w:eastAsia="Arial" w:hAnsi="Arial"/>
                <w:b/>
                <w:bCs/>
                <w:color w:val="222222"/>
                <w:sz w:val="20"/>
                <w:szCs w:val="20"/>
              </w:rPr>
              <w:t xml:space="preserve">Storage Charges for Uncollected Modules</w:t>
            </w:r>
          </w:p>
        </w:tc>
      </w:tr>
      <w:tr>
        <w:tc>
          <w:tcPr>
            <w:tcW w:type="dxa" w:w="2000"/>
            <w:tcBorders>
              <w:top w:val="single" w:color="BFBFBF" w:sz="1"/>
              <w:left w:val="single" w:color="BFBFBF" w:sz="1"/>
              <w:bottom w:val="single" w:color="BFBFBF" w:sz="1"/>
              <w:right w:val="single" w:color="BFBFBF" w:sz="1"/>
            </w:tcBorders>
            <w:shd w:fill="F2F2F2" w:val="clear"/>
            <w:tcMar>
              <w:top w:type="dxa" w:w="80"/>
              <w:left w:type="dxa" w:w="160"/>
              <w:bottom w:type="dxa" w:w="80"/>
              <w:right w:type="dxa" w:w="160"/>
            </w:tcMar>
          </w:tcPr>
          <w:p>
            <w:r>
              <w:rPr>
                <w:rFonts w:ascii="Arial" w:cs="Arial" w:eastAsia="Arial" w:hAnsi="Arial"/>
                <w:b/>
                <w:bCs/>
                <w:color w:val="333333"/>
                <w:sz w:val="18"/>
                <w:szCs w:val="18"/>
              </w:rPr>
              <w:t xml:space="preserve">What it says</w:t>
            </w:r>
          </w:p>
        </w:tc>
        <w:tc>
          <w:tcPr>
            <w:tcW w:type="dxa" w:w="7200"/>
            <w:tcBorders>
              <w:top w:val="single" w:color="BFBFBF" w:sz="1"/>
              <w:left w:val="single" w:color="BFBFBF" w:sz="1"/>
              <w:bottom w:val="single" w:color="BFBFBF" w:sz="1"/>
              <w:right w:val="single" w:color="BFBFBF" w:sz="1"/>
            </w:tcBorders>
            <w:shd w:fill="FFFFFF" w:val="clear"/>
            <w:tcMar>
              <w:top w:type="dxa" w:w="80"/>
              <w:left w:type="dxa" w:w="160"/>
              <w:bottom w:type="dxa" w:w="80"/>
              <w:right w:type="dxa" w:w="160"/>
            </w:tcMar>
          </w:tcPr>
          <w:p>
            <w:r>
              <w:rPr>
                <w:rFonts w:ascii="Arial" w:cs="Arial" w:eastAsia="Arial" w:hAnsi="Arial"/>
                <w:color w:val="333333"/>
                <w:sz w:val="18"/>
                <w:szCs w:val="18"/>
              </w:rPr>
              <w:t xml:space="preserve">If Buyer does not collect finished modules within 72 hours of readiness notification, Supplier may charge storage fees.</w:t>
            </w:r>
          </w:p>
        </w:tc>
      </w:tr>
      <w:tr>
        <w:tc>
          <w:tcPr>
            <w:tcW w:type="dxa" w:w="2000"/>
            <w:tcBorders>
              <w:top w:val="single" w:color="BFBFBF" w:sz="1"/>
              <w:left w:val="single" w:color="BFBFBF" w:sz="1"/>
              <w:bottom w:val="single" w:color="BFBFBF" w:sz="1"/>
              <w:right w:val="single" w:color="BFBFBF" w:sz="1"/>
            </w:tcBorders>
            <w:shd w:fill="F2F2F2" w:val="clear"/>
            <w:tcMar>
              <w:top w:type="dxa" w:w="80"/>
              <w:left w:type="dxa" w:w="160"/>
              <w:bottom w:type="dxa" w:w="80"/>
              <w:right w:type="dxa" w:w="160"/>
            </w:tcMar>
          </w:tcPr>
          <w:p>
            <w:r>
              <w:rPr>
                <w:rFonts w:ascii="Arial" w:cs="Arial" w:eastAsia="Arial" w:hAnsi="Arial"/>
                <w:b/>
                <w:bCs/>
                <w:color w:val="333333"/>
                <w:sz w:val="18"/>
                <w:szCs w:val="18"/>
              </w:rPr>
              <w:t xml:space="preserve">Why it's positional</w:t>
            </w:r>
          </w:p>
        </w:tc>
        <w:tc>
          <w:tcPr>
            <w:tcW w:type="dxa" w:w="7200"/>
            <w:tcBorders>
              <w:top w:val="single" w:color="BFBFBF" w:sz="1"/>
              <w:left w:val="single" w:color="BFBFBF" w:sz="1"/>
              <w:bottom w:val="single" w:color="BFBFBF" w:sz="1"/>
              <w:right w:val="single" w:color="BFBFBF" w:sz="1"/>
            </w:tcBorders>
            <w:shd w:fill="FFF2CC" w:val="clear"/>
            <w:tcMar>
              <w:top w:type="dxa" w:w="80"/>
              <w:left w:type="dxa" w:w="160"/>
              <w:bottom w:type="dxa" w:w="80"/>
              <w:right w:type="dxa" w:w="160"/>
            </w:tcMar>
          </w:tcPr>
          <w:p>
            <w:r>
              <w:rPr>
                <w:rFonts w:ascii="Arial" w:cs="Arial" w:eastAsia="Arial" w:hAnsi="Arial"/>
                <w:color w:val="333333"/>
                <w:sz w:val="18"/>
                <w:szCs w:val="18"/>
              </w:rPr>
              <w:t xml:space="preserve">This is a pure penalty clause with no corresponding obligation on Supplier's side. There is no reciprocal compensation to Buyer if Supplier fails to have modules ready on time, or if production shortfalls disrupt Buyer's vehicle assembly. The clause punishes Buyer's logistics delay but ignores Supplier's production delay — a textbook one-sided protection.</w:t>
            </w:r>
          </w:p>
        </w:tc>
      </w:tr>
      <w:tr>
        <w:tc>
          <w:tcPr>
            <w:tcW w:type="dxa" w:w="2000"/>
            <w:tcBorders>
              <w:top w:val="single" w:color="BFBFBF" w:sz="1"/>
              <w:left w:val="single" w:color="BFBFBF" w:sz="1"/>
              <w:bottom w:val="single" w:color="BFBFBF" w:sz="1"/>
              <w:right w:val="single" w:color="BFBFBF" w:sz="1"/>
            </w:tcBorders>
            <w:shd w:fill="F2F2F2" w:val="clear"/>
            <w:tcMar>
              <w:top w:type="dxa" w:w="80"/>
              <w:left w:type="dxa" w:w="160"/>
              <w:bottom w:type="dxa" w:w="80"/>
              <w:right w:type="dxa" w:w="160"/>
            </w:tcMar>
          </w:tcPr>
          <w:p>
            <w:r>
              <w:rPr>
                <w:rFonts w:ascii="Arial" w:cs="Arial" w:eastAsia="Arial" w:hAnsi="Arial"/>
                <w:b/>
                <w:bCs/>
                <w:color w:val="333333"/>
                <w:sz w:val="18"/>
                <w:szCs w:val="18"/>
              </w:rPr>
              <w:t xml:space="preserve">SMARTnership reframe</w:t>
            </w:r>
          </w:p>
        </w:tc>
        <w:tc>
          <w:tcPr>
            <w:tcW w:type="dxa" w:w="7200"/>
            <w:tcBorders>
              <w:top w:val="single" w:color="BFBFBF" w:sz="1"/>
              <w:left w:val="single" w:color="BFBFBF" w:sz="1"/>
              <w:bottom w:val="single" w:color="BFBFBF" w:sz="1"/>
              <w:right w:val="single" w:color="BFBFBF" w:sz="1"/>
            </w:tcBorders>
            <w:shd w:fill="EBF1DE" w:val="clear"/>
            <w:tcMar>
              <w:top w:type="dxa" w:w="80"/>
              <w:left w:type="dxa" w:w="160"/>
              <w:bottom w:type="dxa" w:w="80"/>
              <w:right w:type="dxa" w:w="160"/>
            </w:tcMar>
          </w:tcPr>
          <w:p>
            <w:r>
              <w:rPr>
                <w:rFonts w:ascii="Arial" w:cs="Arial" w:eastAsia="Arial" w:hAnsi="Arial"/>
                <w:color w:val="333333"/>
                <w:sz w:val="18"/>
                <w:szCs w:val="18"/>
              </w:rPr>
              <w:t xml:space="preserve">Replace with a symmetric Service Level Agreement: define readiness notification lead times, pickup windows, and — critically — a reciprocal compensation framework if Supplier's readiness notifications are inaccurate or late. Both parties bear the cost of their own operational failures. This builds accountability and trust simultaneously.</w:t>
            </w:r>
          </w:p>
        </w:tc>
      </w:tr>
    </w:tbl>
    <w:p>
      <w:pPr>
        <w:spacing w:after="0" w:before="120"/>
      </w:pPr>
    </w:p>
    <w:p>
      <w:pPr>
        <w:shd w:fill="1F3864" w:val="clear"/>
        <w:spacing w:after="0" w:before="380"/>
        <w:ind w:left="160" w:right="160"/>
      </w:pPr>
      <w:r>
        <w:rPr>
          <w:rFonts w:ascii="Arial" w:cs="Arial" w:eastAsia="Arial" w:hAnsi="Arial"/>
          <w:b/>
          <w:bCs/>
          <w:color w:val="FFFFFF"/>
          <w:sz w:val="26"/>
          <w:szCs w:val="26"/>
        </w:rPr>
        <w:t xml:space="preserve">4 · QUALITY, WARRANTY &amp; DEFECTS (§26–34)</w:t>
      </w:r>
    </w:p>
    <w:p>
      <w:pPr>
        <w:spacing w:after="0" w:before="160"/>
      </w:pPr>
    </w:p>
    <w:p>
      <w:pPr>
        <w:pBdr>
          <w:bottom w:val="single" w:color="2E75B6" w:sz="6" w:space="1"/>
        </w:pBdr>
        <w:spacing w:after="80" w:before="260"/>
      </w:pPr>
      <w:r>
        <w:rPr>
          <w:rFonts w:ascii="Arial" w:cs="Arial" w:eastAsia="Arial" w:hAnsi="Arial"/>
          <w:b/>
          <w:bCs/>
          <w:color w:val="2E75B6"/>
          <w:sz w:val="22"/>
          <w:szCs w:val="22"/>
        </w:rPr>
        <w:t xml:space="preserve">The Positional Pattern</w:t>
      </w:r>
    </w:p>
    <w:p>
      <w:pPr>
        <w:spacing w:after="60" w:before="60"/>
      </w:pPr>
      <w:r>
        <w:rPr>
          <w:rFonts w:ascii="Arial" w:cs="Arial" w:eastAsia="Arial" w:hAnsi="Arial"/>
          <w:color w:val="595959"/>
          <w:sz w:val="20"/>
          <w:szCs w:val="20"/>
        </w:rPr>
        <w:t xml:space="preserve">The quality framework is audit-focused and liability-limited. It treats quality as a compliance threshold to be monitored and enforced rather than a joint outcome to be invested in. The warranty cost allocation clause is particularly positional — it insulates Supplier from the downstream commercial consequences of defective products.</w:t>
      </w:r>
    </w:p>
    <w:p>
      <w:pPr>
        <w:spacing w:after="0" w:before="100"/>
      </w:pP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2000"/>
        <w:gridCol w:w="7200"/>
      </w:tblGrid>
      <w:tr>
        <w:tc>
          <w:tcPr>
            <w:tcW w:type="dxa" w:w="9200"/>
            <w:gridSpan w:val="2"/>
            <w:tcBorders>
              <w:top w:val="single" w:color="BFBFBF" w:sz="1"/>
              <w:left w:val="single" w:color="BFBFBF" w:sz="1"/>
              <w:bottom w:val="single" w:color="BFBFBF" w:sz="1"/>
              <w:right w:val="single" w:color="BFBFBF" w:sz="1"/>
            </w:tcBorders>
            <w:shd w:fill="FFF2CC" w:val="clear"/>
            <w:tcMar>
              <w:top w:type="dxa" w:w="80"/>
              <w:left w:type="dxa" w:w="160"/>
              <w:bottom w:type="dxa" w:w="80"/>
              <w:right w:type="dxa" w:w="160"/>
            </w:tcMar>
          </w:tcPr>
          <w:p>
            <w:r>
              <w:rPr>
                <w:rFonts w:ascii="Arial" w:cs="Arial" w:eastAsia="Arial" w:hAnsi="Arial"/>
                <w:b/>
                <w:bCs/>
                <w:color w:val="C9A227"/>
                <w:sz w:val="20"/>
                <w:szCs w:val="20"/>
              </w:rPr>
              <w:t xml:space="preserve">§27  </w:t>
            </w:r>
            <w:r>
              <w:rPr>
                <w:rFonts w:ascii="Arial" w:cs="Arial" w:eastAsia="Arial" w:hAnsi="Arial"/>
                <w:b/>
                <w:bCs/>
                <w:color w:val="222222"/>
                <w:sz w:val="20"/>
                <w:szCs w:val="20"/>
              </w:rPr>
              <w:t xml:space="preserve">Acceptable Defect Rate of 1.5%</w:t>
            </w:r>
          </w:p>
        </w:tc>
      </w:tr>
      <w:tr>
        <w:tc>
          <w:tcPr>
            <w:tcW w:type="dxa" w:w="2000"/>
            <w:tcBorders>
              <w:top w:val="single" w:color="BFBFBF" w:sz="1"/>
              <w:left w:val="single" w:color="BFBFBF" w:sz="1"/>
              <w:bottom w:val="single" w:color="BFBFBF" w:sz="1"/>
              <w:right w:val="single" w:color="BFBFBF" w:sz="1"/>
            </w:tcBorders>
            <w:shd w:fill="F2F2F2" w:val="clear"/>
            <w:tcMar>
              <w:top w:type="dxa" w:w="80"/>
              <w:left w:type="dxa" w:w="160"/>
              <w:bottom w:type="dxa" w:w="80"/>
              <w:right w:type="dxa" w:w="160"/>
            </w:tcMar>
          </w:tcPr>
          <w:p>
            <w:r>
              <w:rPr>
                <w:rFonts w:ascii="Arial" w:cs="Arial" w:eastAsia="Arial" w:hAnsi="Arial"/>
                <w:b/>
                <w:bCs/>
                <w:color w:val="333333"/>
                <w:sz w:val="18"/>
                <w:szCs w:val="18"/>
              </w:rPr>
              <w:t xml:space="preserve">What it says</w:t>
            </w:r>
          </w:p>
        </w:tc>
        <w:tc>
          <w:tcPr>
            <w:tcW w:type="dxa" w:w="7200"/>
            <w:tcBorders>
              <w:top w:val="single" w:color="BFBFBF" w:sz="1"/>
              <w:left w:val="single" w:color="BFBFBF" w:sz="1"/>
              <w:bottom w:val="single" w:color="BFBFBF" w:sz="1"/>
              <w:right w:val="single" w:color="BFBFBF" w:sz="1"/>
            </w:tcBorders>
            <w:shd w:fill="FFFFFF" w:val="clear"/>
            <w:tcMar>
              <w:top w:type="dxa" w:w="80"/>
              <w:left w:type="dxa" w:w="160"/>
              <w:bottom w:type="dxa" w:w="80"/>
              <w:right w:type="dxa" w:w="160"/>
            </w:tcMar>
          </w:tcPr>
          <w:p>
            <w:r>
              <w:rPr>
                <w:rFonts w:ascii="Arial" w:cs="Arial" w:eastAsia="Arial" w:hAnsi="Arial"/>
                <w:color w:val="333333"/>
                <w:sz w:val="18"/>
                <w:szCs w:val="18"/>
              </w:rPr>
              <w:t xml:space="preserve">The acceptable defect rate per shipment shall not exceed 1.5%. If exceeded, Supplier implements corrective action.</w:t>
            </w:r>
          </w:p>
        </w:tc>
      </w:tr>
      <w:tr>
        <w:tc>
          <w:tcPr>
            <w:tcW w:type="dxa" w:w="2000"/>
            <w:tcBorders>
              <w:top w:val="single" w:color="BFBFBF" w:sz="1"/>
              <w:left w:val="single" w:color="BFBFBF" w:sz="1"/>
              <w:bottom w:val="single" w:color="BFBFBF" w:sz="1"/>
              <w:right w:val="single" w:color="BFBFBF" w:sz="1"/>
            </w:tcBorders>
            <w:shd w:fill="F2F2F2" w:val="clear"/>
            <w:tcMar>
              <w:top w:type="dxa" w:w="80"/>
              <w:left w:type="dxa" w:w="160"/>
              <w:bottom w:type="dxa" w:w="80"/>
              <w:right w:type="dxa" w:w="160"/>
            </w:tcMar>
          </w:tcPr>
          <w:p>
            <w:r>
              <w:rPr>
                <w:rFonts w:ascii="Arial" w:cs="Arial" w:eastAsia="Arial" w:hAnsi="Arial"/>
                <w:b/>
                <w:bCs/>
                <w:color w:val="333333"/>
                <w:sz w:val="18"/>
                <w:szCs w:val="18"/>
              </w:rPr>
              <w:t xml:space="preserve">Why it's positional</w:t>
            </w:r>
          </w:p>
        </w:tc>
        <w:tc>
          <w:tcPr>
            <w:tcW w:type="dxa" w:w="7200"/>
            <w:tcBorders>
              <w:top w:val="single" w:color="BFBFBF" w:sz="1"/>
              <w:left w:val="single" w:color="BFBFBF" w:sz="1"/>
              <w:bottom w:val="single" w:color="BFBFBF" w:sz="1"/>
              <w:right w:val="single" w:color="BFBFBF" w:sz="1"/>
            </w:tcBorders>
            <w:shd w:fill="FFF2CC" w:val="clear"/>
            <w:tcMar>
              <w:top w:type="dxa" w:w="80"/>
              <w:left w:type="dxa" w:w="160"/>
              <w:bottom w:type="dxa" w:w="80"/>
              <w:right w:type="dxa" w:w="160"/>
            </w:tcMar>
          </w:tcPr>
          <w:p>
            <w:r>
              <w:rPr>
                <w:rFonts w:ascii="Arial" w:cs="Arial" w:eastAsia="Arial" w:hAnsi="Arial"/>
                <w:color w:val="333333"/>
                <w:sz w:val="18"/>
                <w:szCs w:val="18"/>
              </w:rPr>
              <w:t xml:space="preserve">A 1.5% defect rate in automotive battery manufacturing is not a quality standard — it is a quality ceiling that normalizes failure. At 500,000 modules/year, 1.5% means up to 7,500 defective modules annually. The clause treats this as acceptable. This is positional thinking: Supplier negotiated a margin of tolerance that protects it from corrective action obligations rather than striving for zero-defect excellence.</w:t>
            </w:r>
          </w:p>
        </w:tc>
      </w:tr>
      <w:tr>
        <w:tc>
          <w:tcPr>
            <w:tcW w:type="dxa" w:w="2000"/>
            <w:tcBorders>
              <w:top w:val="single" w:color="BFBFBF" w:sz="1"/>
              <w:left w:val="single" w:color="BFBFBF" w:sz="1"/>
              <w:bottom w:val="single" w:color="BFBFBF" w:sz="1"/>
              <w:right w:val="single" w:color="BFBFBF" w:sz="1"/>
            </w:tcBorders>
            <w:shd w:fill="F2F2F2" w:val="clear"/>
            <w:tcMar>
              <w:top w:type="dxa" w:w="80"/>
              <w:left w:type="dxa" w:w="160"/>
              <w:bottom w:type="dxa" w:w="80"/>
              <w:right w:type="dxa" w:w="160"/>
            </w:tcMar>
          </w:tcPr>
          <w:p>
            <w:r>
              <w:rPr>
                <w:rFonts w:ascii="Arial" w:cs="Arial" w:eastAsia="Arial" w:hAnsi="Arial"/>
                <w:b/>
                <w:bCs/>
                <w:color w:val="333333"/>
                <w:sz w:val="18"/>
                <w:szCs w:val="18"/>
              </w:rPr>
              <w:t xml:space="preserve">SMARTnership reframe</w:t>
            </w:r>
          </w:p>
        </w:tc>
        <w:tc>
          <w:tcPr>
            <w:tcW w:type="dxa" w:w="7200"/>
            <w:tcBorders>
              <w:top w:val="single" w:color="BFBFBF" w:sz="1"/>
              <w:left w:val="single" w:color="BFBFBF" w:sz="1"/>
              <w:bottom w:val="single" w:color="BFBFBF" w:sz="1"/>
              <w:right w:val="single" w:color="BFBFBF" w:sz="1"/>
            </w:tcBorders>
            <w:shd w:fill="EBF1DE" w:val="clear"/>
            <w:tcMar>
              <w:top w:type="dxa" w:w="80"/>
              <w:left w:type="dxa" w:w="160"/>
              <w:bottom w:type="dxa" w:w="80"/>
              <w:right w:type="dxa" w:w="160"/>
            </w:tcMar>
          </w:tcPr>
          <w:p>
            <w:r>
              <w:rPr>
                <w:rFonts w:ascii="Arial" w:cs="Arial" w:eastAsia="Arial" w:hAnsi="Arial"/>
                <w:color w:val="333333"/>
                <w:sz w:val="18"/>
                <w:szCs w:val="18"/>
              </w:rPr>
              <w:t xml:space="preserve">Jointly develop a Quality Improvement Roadmap with declining defect targets year-over-year (e.g., 1.5% → 0.8% → 0.3%). Link Supplier's performance against these targets to a small price incentive — bonus for beating targets, adjustment for missing them. This transforms quality from a compliance threshold into a shared investment in product excellence that benefits both parties' reputations.</w:t>
            </w:r>
          </w:p>
        </w:tc>
      </w:tr>
    </w:tbl>
    <w:p>
      <w:pPr>
        <w:spacing w:after="0" w:before="80"/>
      </w:pP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2000"/>
        <w:gridCol w:w="7200"/>
      </w:tblGrid>
      <w:tr>
        <w:tc>
          <w:tcPr>
            <w:tcW w:type="dxa" w:w="9200"/>
            <w:gridSpan w:val="2"/>
            <w:tcBorders>
              <w:top w:val="single" w:color="BFBFBF" w:sz="1"/>
              <w:left w:val="single" w:color="BFBFBF" w:sz="1"/>
              <w:bottom w:val="single" w:color="BFBFBF" w:sz="1"/>
              <w:right w:val="single" w:color="BFBFBF" w:sz="1"/>
            </w:tcBorders>
            <w:shd w:fill="FFF2CC" w:val="clear"/>
            <w:tcMar>
              <w:top w:type="dxa" w:w="80"/>
              <w:left w:type="dxa" w:w="160"/>
              <w:bottom w:type="dxa" w:w="80"/>
              <w:right w:type="dxa" w:w="160"/>
            </w:tcMar>
          </w:tcPr>
          <w:p>
            <w:r>
              <w:rPr>
                <w:rFonts w:ascii="Arial" w:cs="Arial" w:eastAsia="Arial" w:hAnsi="Arial"/>
                <w:b/>
                <w:bCs/>
                <w:color w:val="C9A227"/>
                <w:sz w:val="20"/>
                <w:szCs w:val="20"/>
              </w:rPr>
              <w:t xml:space="preserve">§33  </w:t>
            </w:r>
            <w:r>
              <w:rPr>
                <w:rFonts w:ascii="Arial" w:cs="Arial" w:eastAsia="Arial" w:hAnsi="Arial"/>
                <w:b/>
                <w:bCs/>
                <w:color w:val="222222"/>
                <w:sz w:val="20"/>
                <w:szCs w:val="20"/>
              </w:rPr>
              <w:t xml:space="preserve">Warranty Cost Limitation — No Recall Liability</w:t>
            </w:r>
          </w:p>
        </w:tc>
      </w:tr>
      <w:tr>
        <w:tc>
          <w:tcPr>
            <w:tcW w:type="dxa" w:w="2000"/>
            <w:tcBorders>
              <w:top w:val="single" w:color="BFBFBF" w:sz="1"/>
              <w:left w:val="single" w:color="BFBFBF" w:sz="1"/>
              <w:bottom w:val="single" w:color="BFBFBF" w:sz="1"/>
              <w:right w:val="single" w:color="BFBFBF" w:sz="1"/>
            </w:tcBorders>
            <w:shd w:fill="F2F2F2" w:val="clear"/>
            <w:tcMar>
              <w:top w:type="dxa" w:w="80"/>
              <w:left w:type="dxa" w:w="160"/>
              <w:bottom w:type="dxa" w:w="80"/>
              <w:right w:type="dxa" w:w="160"/>
            </w:tcMar>
          </w:tcPr>
          <w:p>
            <w:r>
              <w:rPr>
                <w:rFonts w:ascii="Arial" w:cs="Arial" w:eastAsia="Arial" w:hAnsi="Arial"/>
                <w:b/>
                <w:bCs/>
                <w:color w:val="333333"/>
                <w:sz w:val="18"/>
                <w:szCs w:val="18"/>
              </w:rPr>
              <w:t xml:space="preserve">What it says</w:t>
            </w:r>
          </w:p>
        </w:tc>
        <w:tc>
          <w:tcPr>
            <w:tcW w:type="dxa" w:w="7200"/>
            <w:tcBorders>
              <w:top w:val="single" w:color="BFBFBF" w:sz="1"/>
              <w:left w:val="single" w:color="BFBFBF" w:sz="1"/>
              <w:bottom w:val="single" w:color="BFBFBF" w:sz="1"/>
              <w:right w:val="single" w:color="BFBFBF" w:sz="1"/>
            </w:tcBorders>
            <w:shd w:fill="FFFFFF" w:val="clear"/>
            <w:tcMar>
              <w:top w:type="dxa" w:w="80"/>
              <w:left w:type="dxa" w:w="160"/>
              <w:bottom w:type="dxa" w:w="80"/>
              <w:right w:type="dxa" w:w="160"/>
            </w:tcMar>
          </w:tcPr>
          <w:p>
            <w:r>
              <w:rPr>
                <w:rFonts w:ascii="Arial" w:cs="Arial" w:eastAsia="Arial" w:hAnsi="Arial"/>
                <w:color w:val="333333"/>
                <w:sz w:val="18"/>
                <w:szCs w:val="18"/>
              </w:rPr>
              <w:t xml:space="preserve">Supplier's warranty responsibility is limited to repair, replacement, or reimbursement of defective modules only. Supplier is explicitly NOT responsible for vehicle recalls, transportation costs, or customer compensation.</w:t>
            </w:r>
          </w:p>
        </w:tc>
      </w:tr>
      <w:tr>
        <w:tc>
          <w:tcPr>
            <w:tcW w:type="dxa" w:w="2000"/>
            <w:tcBorders>
              <w:top w:val="single" w:color="BFBFBF" w:sz="1"/>
              <w:left w:val="single" w:color="BFBFBF" w:sz="1"/>
              <w:bottom w:val="single" w:color="BFBFBF" w:sz="1"/>
              <w:right w:val="single" w:color="BFBFBF" w:sz="1"/>
            </w:tcBorders>
            <w:shd w:fill="F2F2F2" w:val="clear"/>
            <w:tcMar>
              <w:top w:type="dxa" w:w="80"/>
              <w:left w:type="dxa" w:w="160"/>
              <w:bottom w:type="dxa" w:w="80"/>
              <w:right w:type="dxa" w:w="160"/>
            </w:tcMar>
          </w:tcPr>
          <w:p>
            <w:r>
              <w:rPr>
                <w:rFonts w:ascii="Arial" w:cs="Arial" w:eastAsia="Arial" w:hAnsi="Arial"/>
                <w:b/>
                <w:bCs/>
                <w:color w:val="333333"/>
                <w:sz w:val="18"/>
                <w:szCs w:val="18"/>
              </w:rPr>
              <w:t xml:space="preserve">Why it's positional</w:t>
            </w:r>
          </w:p>
        </w:tc>
        <w:tc>
          <w:tcPr>
            <w:tcW w:type="dxa" w:w="7200"/>
            <w:tcBorders>
              <w:top w:val="single" w:color="BFBFBF" w:sz="1"/>
              <w:left w:val="single" w:color="BFBFBF" w:sz="1"/>
              <w:bottom w:val="single" w:color="BFBFBF" w:sz="1"/>
              <w:right w:val="single" w:color="BFBFBF" w:sz="1"/>
            </w:tcBorders>
            <w:shd w:fill="FFF2CC" w:val="clear"/>
            <w:tcMar>
              <w:top w:type="dxa" w:w="80"/>
              <w:left w:type="dxa" w:w="160"/>
              <w:bottom w:type="dxa" w:w="80"/>
              <w:right w:type="dxa" w:w="160"/>
            </w:tcMar>
          </w:tcPr>
          <w:p>
            <w:r>
              <w:rPr>
                <w:rFonts w:ascii="Arial" w:cs="Arial" w:eastAsia="Arial" w:hAnsi="Arial"/>
                <w:color w:val="333333"/>
                <w:sz w:val="18"/>
                <w:szCs w:val="18"/>
              </w:rPr>
              <w:t xml:space="preserve">In the EV industry, a battery module failure does not stop at the module — it triggers vehicle recalls, roadside assistance, OEM customer support, and reputational damage. By carving out all downstream consequences, Supplier has no financial exposure to the true cost of its manufacturing failures at the vehicle and customer level. This insulates Supplier from the real-world impact of its quality decisions and removes the incentive to invest in root-cause prevention.</w:t>
            </w:r>
          </w:p>
        </w:tc>
      </w:tr>
      <w:tr>
        <w:tc>
          <w:tcPr>
            <w:tcW w:type="dxa" w:w="2000"/>
            <w:tcBorders>
              <w:top w:val="single" w:color="BFBFBF" w:sz="1"/>
              <w:left w:val="single" w:color="BFBFBF" w:sz="1"/>
              <w:bottom w:val="single" w:color="BFBFBF" w:sz="1"/>
              <w:right w:val="single" w:color="BFBFBF" w:sz="1"/>
            </w:tcBorders>
            <w:shd w:fill="F2F2F2" w:val="clear"/>
            <w:tcMar>
              <w:top w:type="dxa" w:w="80"/>
              <w:left w:type="dxa" w:w="160"/>
              <w:bottom w:type="dxa" w:w="80"/>
              <w:right w:type="dxa" w:w="160"/>
            </w:tcMar>
          </w:tcPr>
          <w:p>
            <w:r>
              <w:rPr>
                <w:rFonts w:ascii="Arial" w:cs="Arial" w:eastAsia="Arial" w:hAnsi="Arial"/>
                <w:b/>
                <w:bCs/>
                <w:color w:val="333333"/>
                <w:sz w:val="18"/>
                <w:szCs w:val="18"/>
              </w:rPr>
              <w:t xml:space="preserve">SMARTnership reframe</w:t>
            </w:r>
          </w:p>
        </w:tc>
        <w:tc>
          <w:tcPr>
            <w:tcW w:type="dxa" w:w="7200"/>
            <w:tcBorders>
              <w:top w:val="single" w:color="BFBFBF" w:sz="1"/>
              <w:left w:val="single" w:color="BFBFBF" w:sz="1"/>
              <w:bottom w:val="single" w:color="BFBFBF" w:sz="1"/>
              <w:right w:val="single" w:color="BFBFBF" w:sz="1"/>
            </w:tcBorders>
            <w:shd w:fill="EBF1DE" w:val="clear"/>
            <w:tcMar>
              <w:top w:type="dxa" w:w="80"/>
              <w:left w:type="dxa" w:w="160"/>
              <w:bottom w:type="dxa" w:w="80"/>
              <w:right w:type="dxa" w:w="160"/>
            </w:tcMar>
          </w:tcPr>
          <w:p>
            <w:r>
              <w:rPr>
                <w:rFonts w:ascii="Arial" w:cs="Arial" w:eastAsia="Arial" w:hAnsi="Arial"/>
                <w:color w:val="333333"/>
                <w:sz w:val="18"/>
                <w:szCs w:val="18"/>
              </w:rPr>
              <w:t xml:space="preserve">Introduce a tiered warranty liability model: below a defined failure threshold, standard repair/replace applies. Above it — suggesting systemic manufacturing failure — a broader cost-sharing arrangement kicks in, covering a defined proportion of downstream recall and logistics costs. Cap the exposure to protect Supplier from catastrophic claims, but ensure some skin in the game so quality investment decisions are made with the full consequence in view.</w:t>
            </w:r>
          </w:p>
        </w:tc>
      </w:tr>
    </w:tbl>
    <w:p>
      <w:pPr>
        <w:spacing w:after="0" w:before="80"/>
      </w:pP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2000"/>
        <w:gridCol w:w="7200"/>
      </w:tblGrid>
      <w:tr>
        <w:tc>
          <w:tcPr>
            <w:tcW w:type="dxa" w:w="9200"/>
            <w:gridSpan w:val="2"/>
            <w:tcBorders>
              <w:top w:val="single" w:color="BFBFBF" w:sz="1"/>
              <w:left w:val="single" w:color="BFBFBF" w:sz="1"/>
              <w:bottom w:val="single" w:color="BFBFBF" w:sz="1"/>
              <w:right w:val="single" w:color="BFBFBF" w:sz="1"/>
            </w:tcBorders>
            <w:shd w:fill="FFF2CC" w:val="clear"/>
            <w:tcMar>
              <w:top w:type="dxa" w:w="80"/>
              <w:left w:type="dxa" w:w="160"/>
              <w:bottom w:type="dxa" w:w="80"/>
              <w:right w:type="dxa" w:w="160"/>
            </w:tcMar>
          </w:tcPr>
          <w:p>
            <w:r>
              <w:rPr>
                <w:rFonts w:ascii="Arial" w:cs="Arial" w:eastAsia="Arial" w:hAnsi="Arial"/>
                <w:b/>
                <w:bCs/>
                <w:color w:val="C9A227"/>
                <w:sz w:val="20"/>
                <w:szCs w:val="20"/>
              </w:rPr>
              <w:t xml:space="preserve">§28  </w:t>
            </w:r>
            <w:r>
              <w:rPr>
                <w:rFonts w:ascii="Arial" w:cs="Arial" w:eastAsia="Arial" w:hAnsi="Arial"/>
                <w:b/>
                <w:bCs/>
                <w:color w:val="222222"/>
                <w:sz w:val="20"/>
                <w:szCs w:val="20"/>
              </w:rPr>
              <w:t xml:space="preserve">Buyer-Initiated Audits Only</w:t>
            </w:r>
          </w:p>
        </w:tc>
      </w:tr>
      <w:tr>
        <w:tc>
          <w:tcPr>
            <w:tcW w:type="dxa" w:w="2000"/>
            <w:tcBorders>
              <w:top w:val="single" w:color="BFBFBF" w:sz="1"/>
              <w:left w:val="single" w:color="BFBFBF" w:sz="1"/>
              <w:bottom w:val="single" w:color="BFBFBF" w:sz="1"/>
              <w:right w:val="single" w:color="BFBFBF" w:sz="1"/>
            </w:tcBorders>
            <w:shd w:fill="F2F2F2" w:val="clear"/>
            <w:tcMar>
              <w:top w:type="dxa" w:w="80"/>
              <w:left w:type="dxa" w:w="160"/>
              <w:bottom w:type="dxa" w:w="80"/>
              <w:right w:type="dxa" w:w="160"/>
            </w:tcMar>
          </w:tcPr>
          <w:p>
            <w:r>
              <w:rPr>
                <w:rFonts w:ascii="Arial" w:cs="Arial" w:eastAsia="Arial" w:hAnsi="Arial"/>
                <w:b/>
                <w:bCs/>
                <w:color w:val="333333"/>
                <w:sz w:val="18"/>
                <w:szCs w:val="18"/>
              </w:rPr>
              <w:t xml:space="preserve">What it says</w:t>
            </w:r>
          </w:p>
        </w:tc>
        <w:tc>
          <w:tcPr>
            <w:tcW w:type="dxa" w:w="7200"/>
            <w:tcBorders>
              <w:top w:val="single" w:color="BFBFBF" w:sz="1"/>
              <w:left w:val="single" w:color="BFBFBF" w:sz="1"/>
              <w:bottom w:val="single" w:color="BFBFBF" w:sz="1"/>
              <w:right w:val="single" w:color="BFBFBF" w:sz="1"/>
            </w:tcBorders>
            <w:shd w:fill="FFFFFF" w:val="clear"/>
            <w:tcMar>
              <w:top w:type="dxa" w:w="80"/>
              <w:left w:type="dxa" w:w="160"/>
              <w:bottom w:type="dxa" w:w="80"/>
              <w:right w:type="dxa" w:w="160"/>
            </w:tcMar>
          </w:tcPr>
          <w:p>
            <w:r>
              <w:rPr>
                <w:rFonts w:ascii="Arial" w:cs="Arial" w:eastAsia="Arial" w:hAnsi="Arial"/>
                <w:color w:val="333333"/>
                <w:sz w:val="18"/>
                <w:szCs w:val="18"/>
              </w:rPr>
              <w:t xml:space="preserve">Buyer may conduct periodic audits. Supplier cooperates and provides access. No other formal quality governance is described.</w:t>
            </w:r>
          </w:p>
        </w:tc>
      </w:tr>
      <w:tr>
        <w:tc>
          <w:tcPr>
            <w:tcW w:type="dxa" w:w="2000"/>
            <w:tcBorders>
              <w:top w:val="single" w:color="BFBFBF" w:sz="1"/>
              <w:left w:val="single" w:color="BFBFBF" w:sz="1"/>
              <w:bottom w:val="single" w:color="BFBFBF" w:sz="1"/>
              <w:right w:val="single" w:color="BFBFBF" w:sz="1"/>
            </w:tcBorders>
            <w:shd w:fill="F2F2F2" w:val="clear"/>
            <w:tcMar>
              <w:top w:type="dxa" w:w="80"/>
              <w:left w:type="dxa" w:w="160"/>
              <w:bottom w:type="dxa" w:w="80"/>
              <w:right w:type="dxa" w:w="160"/>
            </w:tcMar>
          </w:tcPr>
          <w:p>
            <w:r>
              <w:rPr>
                <w:rFonts w:ascii="Arial" w:cs="Arial" w:eastAsia="Arial" w:hAnsi="Arial"/>
                <w:b/>
                <w:bCs/>
                <w:color w:val="333333"/>
                <w:sz w:val="18"/>
                <w:szCs w:val="18"/>
              </w:rPr>
              <w:t xml:space="preserve">Why it's positional</w:t>
            </w:r>
          </w:p>
        </w:tc>
        <w:tc>
          <w:tcPr>
            <w:tcW w:type="dxa" w:w="7200"/>
            <w:tcBorders>
              <w:top w:val="single" w:color="BFBFBF" w:sz="1"/>
              <w:left w:val="single" w:color="BFBFBF" w:sz="1"/>
              <w:bottom w:val="single" w:color="BFBFBF" w:sz="1"/>
              <w:right w:val="single" w:color="BFBFBF" w:sz="1"/>
            </w:tcBorders>
            <w:shd w:fill="FFF2CC" w:val="clear"/>
            <w:tcMar>
              <w:top w:type="dxa" w:w="80"/>
              <w:left w:type="dxa" w:w="160"/>
              <w:bottom w:type="dxa" w:w="80"/>
              <w:right w:type="dxa" w:w="160"/>
            </w:tcMar>
          </w:tcPr>
          <w:p>
            <w:r>
              <w:rPr>
                <w:rFonts w:ascii="Arial" w:cs="Arial" w:eastAsia="Arial" w:hAnsi="Arial"/>
                <w:color w:val="333333"/>
                <w:sz w:val="18"/>
                <w:szCs w:val="18"/>
              </w:rPr>
              <w:t xml:space="preserve">The audit right is unilateral and inspection-based — Buyer polices Supplier. This is the classic buyer-supplier control dynamic: surveillance rather than partnership. There is no joint quality committee, no shared data platform, no proactive escalation process. Quality problems are discovered after the fact.</w:t>
            </w:r>
          </w:p>
        </w:tc>
      </w:tr>
      <w:tr>
        <w:tc>
          <w:tcPr>
            <w:tcW w:type="dxa" w:w="2000"/>
            <w:tcBorders>
              <w:top w:val="single" w:color="BFBFBF" w:sz="1"/>
              <w:left w:val="single" w:color="BFBFBF" w:sz="1"/>
              <w:bottom w:val="single" w:color="BFBFBF" w:sz="1"/>
              <w:right w:val="single" w:color="BFBFBF" w:sz="1"/>
            </w:tcBorders>
            <w:shd w:fill="F2F2F2" w:val="clear"/>
            <w:tcMar>
              <w:top w:type="dxa" w:w="80"/>
              <w:left w:type="dxa" w:w="160"/>
              <w:bottom w:type="dxa" w:w="80"/>
              <w:right w:type="dxa" w:w="160"/>
            </w:tcMar>
          </w:tcPr>
          <w:p>
            <w:r>
              <w:rPr>
                <w:rFonts w:ascii="Arial" w:cs="Arial" w:eastAsia="Arial" w:hAnsi="Arial"/>
                <w:b/>
                <w:bCs/>
                <w:color w:val="333333"/>
                <w:sz w:val="18"/>
                <w:szCs w:val="18"/>
              </w:rPr>
              <w:t xml:space="preserve">SMARTnership reframe</w:t>
            </w:r>
          </w:p>
        </w:tc>
        <w:tc>
          <w:tcPr>
            <w:tcW w:type="dxa" w:w="7200"/>
            <w:tcBorders>
              <w:top w:val="single" w:color="BFBFBF" w:sz="1"/>
              <w:left w:val="single" w:color="BFBFBF" w:sz="1"/>
              <w:bottom w:val="single" w:color="BFBFBF" w:sz="1"/>
              <w:right w:val="single" w:color="BFBFBF" w:sz="1"/>
            </w:tcBorders>
            <w:shd w:fill="EBF1DE" w:val="clear"/>
            <w:tcMar>
              <w:top w:type="dxa" w:w="80"/>
              <w:left w:type="dxa" w:w="160"/>
              <w:bottom w:type="dxa" w:w="80"/>
              <w:right w:type="dxa" w:w="160"/>
            </w:tcMar>
          </w:tcPr>
          <w:p>
            <w:r>
              <w:rPr>
                <w:rFonts w:ascii="Arial" w:cs="Arial" w:eastAsia="Arial" w:hAnsi="Arial"/>
                <w:color w:val="333333"/>
                <w:sz w:val="18"/>
                <w:szCs w:val="18"/>
              </w:rPr>
              <w:t xml:space="preserve">Establish a Joint Quality Council: a standing body with representatives from both organizations that reviews quality data monthly, agrees on improvement targets, and co-invests in manufacturing process upgrades. Shared real-time quality dashboards — where both parties see the same data simultaneously — replace the adversarial audit with continuous mutual visibility.</w:t>
            </w:r>
          </w:p>
        </w:tc>
      </w:tr>
    </w:tbl>
    <w:p>
      <w:pPr>
        <w:spacing w:after="0" w:before="120"/>
      </w:pPr>
    </w:p>
    <w:p>
      <w:pPr>
        <w:shd w:fill="1F3864" w:val="clear"/>
        <w:spacing w:after="0" w:before="380"/>
        <w:ind w:left="160" w:right="160"/>
      </w:pPr>
      <w:r>
        <w:rPr>
          <w:rFonts w:ascii="Arial" w:cs="Arial" w:eastAsia="Arial" w:hAnsi="Arial"/>
          <w:b/>
          <w:bCs/>
          <w:color w:val="FFFFFF"/>
          <w:sz w:val="26"/>
          <w:szCs w:val="26"/>
        </w:rPr>
        <w:t xml:space="preserve">5 · PAYMENT TERMS (§22–25)</w:t>
      </w:r>
    </w:p>
    <w:p>
      <w:pPr>
        <w:spacing w:after="0" w:before="160"/>
      </w:pP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2000"/>
        <w:gridCol w:w="7200"/>
      </w:tblGrid>
      <w:tr>
        <w:tc>
          <w:tcPr>
            <w:tcW w:type="dxa" w:w="9200"/>
            <w:gridSpan w:val="2"/>
            <w:tcBorders>
              <w:top w:val="single" w:color="BFBFBF" w:sz="1"/>
              <w:left w:val="single" w:color="BFBFBF" w:sz="1"/>
              <w:bottom w:val="single" w:color="BFBFBF" w:sz="1"/>
              <w:right w:val="single" w:color="BFBFBF" w:sz="1"/>
            </w:tcBorders>
            <w:shd w:fill="FFF2CC" w:val="clear"/>
            <w:tcMar>
              <w:top w:type="dxa" w:w="80"/>
              <w:left w:type="dxa" w:w="160"/>
              <w:bottom w:type="dxa" w:w="80"/>
              <w:right w:type="dxa" w:w="160"/>
            </w:tcMar>
          </w:tcPr>
          <w:p>
            <w:r>
              <w:rPr>
                <w:rFonts w:ascii="Arial" w:cs="Arial" w:eastAsia="Arial" w:hAnsi="Arial"/>
                <w:b/>
                <w:bCs/>
                <w:color w:val="C9A227"/>
                <w:sz w:val="20"/>
                <w:szCs w:val="20"/>
              </w:rPr>
              <w:t xml:space="preserve">§22  </w:t>
            </w:r>
            <w:r>
              <w:rPr>
                <w:rFonts w:ascii="Arial" w:cs="Arial" w:eastAsia="Arial" w:hAnsi="Arial"/>
                <w:b/>
                <w:bCs/>
                <w:color w:val="222222"/>
                <w:sz w:val="20"/>
                <w:szCs w:val="20"/>
              </w:rPr>
              <w:t xml:space="preserve">90-Day Payment Terms</w:t>
            </w:r>
          </w:p>
        </w:tc>
      </w:tr>
      <w:tr>
        <w:tc>
          <w:tcPr>
            <w:tcW w:type="dxa" w:w="2000"/>
            <w:tcBorders>
              <w:top w:val="single" w:color="BFBFBF" w:sz="1"/>
              <w:left w:val="single" w:color="BFBFBF" w:sz="1"/>
              <w:bottom w:val="single" w:color="BFBFBF" w:sz="1"/>
              <w:right w:val="single" w:color="BFBFBF" w:sz="1"/>
            </w:tcBorders>
            <w:shd w:fill="F2F2F2" w:val="clear"/>
            <w:tcMar>
              <w:top w:type="dxa" w:w="80"/>
              <w:left w:type="dxa" w:w="160"/>
              <w:bottom w:type="dxa" w:w="80"/>
              <w:right w:type="dxa" w:w="160"/>
            </w:tcMar>
          </w:tcPr>
          <w:p>
            <w:r>
              <w:rPr>
                <w:rFonts w:ascii="Arial" w:cs="Arial" w:eastAsia="Arial" w:hAnsi="Arial"/>
                <w:b/>
                <w:bCs/>
                <w:color w:val="333333"/>
                <w:sz w:val="18"/>
                <w:szCs w:val="18"/>
              </w:rPr>
              <w:t xml:space="preserve">What it says</w:t>
            </w:r>
          </w:p>
        </w:tc>
        <w:tc>
          <w:tcPr>
            <w:tcW w:type="dxa" w:w="7200"/>
            <w:tcBorders>
              <w:top w:val="single" w:color="BFBFBF" w:sz="1"/>
              <w:left w:val="single" w:color="BFBFBF" w:sz="1"/>
              <w:bottom w:val="single" w:color="BFBFBF" w:sz="1"/>
              <w:right w:val="single" w:color="BFBFBF" w:sz="1"/>
            </w:tcBorders>
            <w:shd w:fill="FFFFFF" w:val="clear"/>
            <w:tcMar>
              <w:top w:type="dxa" w:w="80"/>
              <w:left w:type="dxa" w:w="160"/>
              <w:bottom w:type="dxa" w:w="80"/>
              <w:right w:type="dxa" w:w="160"/>
            </w:tcMar>
          </w:tcPr>
          <w:p>
            <w:r>
              <w:rPr>
                <w:rFonts w:ascii="Arial" w:cs="Arial" w:eastAsia="Arial" w:hAnsi="Arial"/>
                <w:color w:val="333333"/>
                <w:sz w:val="18"/>
                <w:szCs w:val="18"/>
              </w:rPr>
              <w:t xml:space="preserve">Buyer pays within 90 days of invoice. No early payment incentive is defined. Supplier bears the full working capital cost of financing 3 months of production output.</w:t>
            </w:r>
          </w:p>
        </w:tc>
      </w:tr>
      <w:tr>
        <w:tc>
          <w:tcPr>
            <w:tcW w:type="dxa" w:w="2000"/>
            <w:tcBorders>
              <w:top w:val="single" w:color="BFBFBF" w:sz="1"/>
              <w:left w:val="single" w:color="BFBFBF" w:sz="1"/>
              <w:bottom w:val="single" w:color="BFBFBF" w:sz="1"/>
              <w:right w:val="single" w:color="BFBFBF" w:sz="1"/>
            </w:tcBorders>
            <w:shd w:fill="F2F2F2" w:val="clear"/>
            <w:tcMar>
              <w:top w:type="dxa" w:w="80"/>
              <w:left w:type="dxa" w:w="160"/>
              <w:bottom w:type="dxa" w:w="80"/>
              <w:right w:type="dxa" w:w="160"/>
            </w:tcMar>
          </w:tcPr>
          <w:p>
            <w:r>
              <w:rPr>
                <w:rFonts w:ascii="Arial" w:cs="Arial" w:eastAsia="Arial" w:hAnsi="Arial"/>
                <w:b/>
                <w:bCs/>
                <w:color w:val="333333"/>
                <w:sz w:val="18"/>
                <w:szCs w:val="18"/>
              </w:rPr>
              <w:t xml:space="preserve">Why it's positional</w:t>
            </w:r>
          </w:p>
        </w:tc>
        <w:tc>
          <w:tcPr>
            <w:tcW w:type="dxa" w:w="7200"/>
            <w:tcBorders>
              <w:top w:val="single" w:color="BFBFBF" w:sz="1"/>
              <w:left w:val="single" w:color="BFBFBF" w:sz="1"/>
              <w:bottom w:val="single" w:color="BFBFBF" w:sz="1"/>
              <w:right w:val="single" w:color="BFBFBF" w:sz="1"/>
            </w:tcBorders>
            <w:shd w:fill="FFF2CC" w:val="clear"/>
            <w:tcMar>
              <w:top w:type="dxa" w:w="80"/>
              <w:left w:type="dxa" w:w="160"/>
              <w:bottom w:type="dxa" w:w="80"/>
              <w:right w:type="dxa" w:w="160"/>
            </w:tcMar>
          </w:tcPr>
          <w:p>
            <w:r>
              <w:rPr>
                <w:rFonts w:ascii="Arial" w:cs="Arial" w:eastAsia="Arial" w:hAnsi="Arial"/>
                <w:color w:val="333333"/>
                <w:sz w:val="18"/>
                <w:szCs w:val="18"/>
              </w:rPr>
              <w:t xml:space="preserve">For a contract worth ~USD 400M over three years — approximately USD 133M/year — 90-day payment terms mean Supplier is permanently financing ~USD 33M of Buyer's inventory. This is a classic power-imbalance clause: large OEM buyers impose extended payment terms on suppliers to optimize their own working capital, offloading financing costs to smaller suppliers who often pay higher rates of capital.</w:t>
            </w:r>
          </w:p>
        </w:tc>
      </w:tr>
      <w:tr>
        <w:tc>
          <w:tcPr>
            <w:tcW w:type="dxa" w:w="2000"/>
            <w:tcBorders>
              <w:top w:val="single" w:color="BFBFBF" w:sz="1"/>
              <w:left w:val="single" w:color="BFBFBF" w:sz="1"/>
              <w:bottom w:val="single" w:color="BFBFBF" w:sz="1"/>
              <w:right w:val="single" w:color="BFBFBF" w:sz="1"/>
            </w:tcBorders>
            <w:shd w:fill="F2F2F2" w:val="clear"/>
            <w:tcMar>
              <w:top w:type="dxa" w:w="80"/>
              <w:left w:type="dxa" w:w="160"/>
              <w:bottom w:type="dxa" w:w="80"/>
              <w:right w:type="dxa" w:w="160"/>
            </w:tcMar>
          </w:tcPr>
          <w:p>
            <w:r>
              <w:rPr>
                <w:rFonts w:ascii="Arial" w:cs="Arial" w:eastAsia="Arial" w:hAnsi="Arial"/>
                <w:b/>
                <w:bCs/>
                <w:color w:val="333333"/>
                <w:sz w:val="18"/>
                <w:szCs w:val="18"/>
              </w:rPr>
              <w:t xml:space="preserve">SMARTnership reframe</w:t>
            </w:r>
          </w:p>
        </w:tc>
        <w:tc>
          <w:tcPr>
            <w:tcW w:type="dxa" w:w="7200"/>
            <w:tcBorders>
              <w:top w:val="single" w:color="BFBFBF" w:sz="1"/>
              <w:left w:val="single" w:color="BFBFBF" w:sz="1"/>
              <w:bottom w:val="single" w:color="BFBFBF" w:sz="1"/>
              <w:right w:val="single" w:color="BFBFBF" w:sz="1"/>
            </w:tcBorders>
            <w:shd w:fill="EBF1DE" w:val="clear"/>
            <w:tcMar>
              <w:top w:type="dxa" w:w="80"/>
              <w:left w:type="dxa" w:w="160"/>
              <w:bottom w:type="dxa" w:w="80"/>
              <w:right w:type="dxa" w:w="160"/>
            </w:tcMar>
          </w:tcPr>
          <w:p>
            <w:r>
              <w:rPr>
                <w:rFonts w:ascii="Arial" w:cs="Arial" w:eastAsia="Arial" w:hAnsi="Arial"/>
                <w:color w:val="333333"/>
                <w:sz w:val="18"/>
                <w:szCs w:val="18"/>
              </w:rPr>
              <w:t xml:space="preserve">Negotiate a Dynamic Discounting or Supply Chain Finance arrangement: Buyer offers early payment options (e.g., at 30 or 60 days) in exchange for a negotiated discount. Both parties can optimize: Buyer earns a return on surplus cash; Supplier reduces financing costs. Alternatively, Aurora could facilitate access to its banking relationships for Voltatek, reducing Voltatek's cost of capital — a genuine value-creation act that costs Aurora relatively little.</w:t>
            </w:r>
          </w:p>
        </w:tc>
      </w:tr>
    </w:tbl>
    <w:p>
      <w:pPr>
        <w:spacing w:after="0" w:before="120"/>
      </w:pPr>
    </w:p>
    <w:p>
      <w:pPr>
        <w:shd w:fill="1F3864" w:val="clear"/>
        <w:spacing w:after="0" w:before="380"/>
        <w:ind w:left="160" w:right="160"/>
      </w:pPr>
      <w:r>
        <w:rPr>
          <w:rFonts w:ascii="Arial" w:cs="Arial" w:eastAsia="Arial" w:hAnsi="Arial"/>
          <w:b/>
          <w:bCs/>
          <w:color w:val="FFFFFF"/>
          <w:sz w:val="26"/>
          <w:szCs w:val="26"/>
        </w:rPr>
        <w:t xml:space="preserve">6 · TERMINATION ASYMMETRY (§77)</w:t>
      </w:r>
    </w:p>
    <w:p>
      <w:pPr>
        <w:spacing w:after="0" w:before="160"/>
      </w:pP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2000"/>
        <w:gridCol w:w="7200"/>
      </w:tblGrid>
      <w:tr>
        <w:tc>
          <w:tcPr>
            <w:tcW w:type="dxa" w:w="9200"/>
            <w:gridSpan w:val="2"/>
            <w:tcBorders>
              <w:top w:val="single" w:color="BFBFBF" w:sz="1"/>
              <w:left w:val="single" w:color="BFBFBF" w:sz="1"/>
              <w:bottom w:val="single" w:color="BFBFBF" w:sz="1"/>
              <w:right w:val="single" w:color="BFBFBF" w:sz="1"/>
            </w:tcBorders>
            <w:shd w:fill="FFF2CC" w:val="clear"/>
            <w:tcMar>
              <w:top w:type="dxa" w:w="80"/>
              <w:left w:type="dxa" w:w="160"/>
              <w:bottom w:type="dxa" w:w="80"/>
              <w:right w:type="dxa" w:w="160"/>
            </w:tcMar>
          </w:tcPr>
          <w:p>
            <w:r>
              <w:rPr>
                <w:rFonts w:ascii="Arial" w:cs="Arial" w:eastAsia="Arial" w:hAnsi="Arial"/>
                <w:b/>
                <w:bCs/>
                <w:color w:val="C9A227"/>
                <w:sz w:val="20"/>
                <w:szCs w:val="20"/>
              </w:rPr>
              <w:t xml:space="preserve">§77  </w:t>
            </w:r>
            <w:r>
              <w:rPr>
                <w:rFonts w:ascii="Arial" w:cs="Arial" w:eastAsia="Arial" w:hAnsi="Arial"/>
                <w:b/>
                <w:bCs/>
                <w:color w:val="222222"/>
                <w:sz w:val="20"/>
                <w:szCs w:val="20"/>
              </w:rPr>
              <w:t xml:space="preserve">Asymmetric Termination Notice Periods</w:t>
            </w:r>
          </w:p>
        </w:tc>
      </w:tr>
      <w:tr>
        <w:tc>
          <w:tcPr>
            <w:tcW w:type="dxa" w:w="2000"/>
            <w:tcBorders>
              <w:top w:val="single" w:color="BFBFBF" w:sz="1"/>
              <w:left w:val="single" w:color="BFBFBF" w:sz="1"/>
              <w:bottom w:val="single" w:color="BFBFBF" w:sz="1"/>
              <w:right w:val="single" w:color="BFBFBF" w:sz="1"/>
            </w:tcBorders>
            <w:shd w:fill="F2F2F2" w:val="clear"/>
            <w:tcMar>
              <w:top w:type="dxa" w:w="80"/>
              <w:left w:type="dxa" w:w="160"/>
              <w:bottom w:type="dxa" w:w="80"/>
              <w:right w:type="dxa" w:w="160"/>
            </w:tcMar>
          </w:tcPr>
          <w:p>
            <w:r>
              <w:rPr>
                <w:rFonts w:ascii="Arial" w:cs="Arial" w:eastAsia="Arial" w:hAnsi="Arial"/>
                <w:b/>
                <w:bCs/>
                <w:color w:val="333333"/>
                <w:sz w:val="18"/>
                <w:szCs w:val="18"/>
              </w:rPr>
              <w:t xml:space="preserve">What it says</w:t>
            </w:r>
          </w:p>
        </w:tc>
        <w:tc>
          <w:tcPr>
            <w:tcW w:type="dxa" w:w="7200"/>
            <w:tcBorders>
              <w:top w:val="single" w:color="BFBFBF" w:sz="1"/>
              <w:left w:val="single" w:color="BFBFBF" w:sz="1"/>
              <w:bottom w:val="single" w:color="BFBFBF" w:sz="1"/>
              <w:right w:val="single" w:color="BFBFBF" w:sz="1"/>
            </w:tcBorders>
            <w:shd w:fill="FFFFFF" w:val="clear"/>
            <w:tcMar>
              <w:top w:type="dxa" w:w="80"/>
              <w:left w:type="dxa" w:w="160"/>
              <w:bottom w:type="dxa" w:w="80"/>
              <w:right w:type="dxa" w:w="160"/>
            </w:tcMar>
          </w:tcPr>
          <w:p>
            <w:r>
              <w:rPr>
                <w:rFonts w:ascii="Arial" w:cs="Arial" w:eastAsia="Arial" w:hAnsi="Arial"/>
                <w:color w:val="333333"/>
                <w:sz w:val="18"/>
                <w:szCs w:val="18"/>
              </w:rPr>
              <w:t xml:space="preserve">Buyer may terminate for convenience with 180 days notice. Supplier must give 270 days notice — 50% longer.</w:t>
            </w:r>
          </w:p>
        </w:tc>
      </w:tr>
      <w:tr>
        <w:tc>
          <w:tcPr>
            <w:tcW w:type="dxa" w:w="2000"/>
            <w:tcBorders>
              <w:top w:val="single" w:color="BFBFBF" w:sz="1"/>
              <w:left w:val="single" w:color="BFBFBF" w:sz="1"/>
              <w:bottom w:val="single" w:color="BFBFBF" w:sz="1"/>
              <w:right w:val="single" w:color="BFBFBF" w:sz="1"/>
            </w:tcBorders>
            <w:shd w:fill="F2F2F2" w:val="clear"/>
            <w:tcMar>
              <w:top w:type="dxa" w:w="80"/>
              <w:left w:type="dxa" w:w="160"/>
              <w:bottom w:type="dxa" w:w="80"/>
              <w:right w:type="dxa" w:w="160"/>
            </w:tcMar>
          </w:tcPr>
          <w:p>
            <w:r>
              <w:rPr>
                <w:rFonts w:ascii="Arial" w:cs="Arial" w:eastAsia="Arial" w:hAnsi="Arial"/>
                <w:b/>
                <w:bCs/>
                <w:color w:val="333333"/>
                <w:sz w:val="18"/>
                <w:szCs w:val="18"/>
              </w:rPr>
              <w:t xml:space="preserve">Why it's positional</w:t>
            </w:r>
          </w:p>
        </w:tc>
        <w:tc>
          <w:tcPr>
            <w:tcW w:type="dxa" w:w="7200"/>
            <w:tcBorders>
              <w:top w:val="single" w:color="BFBFBF" w:sz="1"/>
              <w:left w:val="single" w:color="BFBFBF" w:sz="1"/>
              <w:bottom w:val="single" w:color="BFBFBF" w:sz="1"/>
              <w:right w:val="single" w:color="BFBFBF" w:sz="1"/>
            </w:tcBorders>
            <w:shd w:fill="FFF2CC" w:val="clear"/>
            <w:tcMar>
              <w:top w:type="dxa" w:w="80"/>
              <w:left w:type="dxa" w:w="160"/>
              <w:bottom w:type="dxa" w:w="80"/>
              <w:right w:type="dxa" w:w="160"/>
            </w:tcMar>
          </w:tcPr>
          <w:p>
            <w:r>
              <w:rPr>
                <w:rFonts w:ascii="Arial" w:cs="Arial" w:eastAsia="Arial" w:hAnsi="Arial"/>
                <w:color w:val="333333"/>
                <w:sz w:val="18"/>
                <w:szCs w:val="18"/>
              </w:rPr>
              <w:t xml:space="preserve">The asymmetry is a naked power clause. Buyer can exit faster than Supplier can. This reflects a negotiating position — Buyer's leverage during contract formation — not a principled allocation of commercial risk. Supplier's longer notice period acknowledges that it needs more time to find alternative customers for dedicated capacity, which implicitly acknowledges that Supplier has taken on significant relationship-specific investment risk.</w:t>
            </w:r>
          </w:p>
        </w:tc>
      </w:tr>
      <w:tr>
        <w:tc>
          <w:tcPr>
            <w:tcW w:type="dxa" w:w="2000"/>
            <w:tcBorders>
              <w:top w:val="single" w:color="BFBFBF" w:sz="1"/>
              <w:left w:val="single" w:color="BFBFBF" w:sz="1"/>
              <w:bottom w:val="single" w:color="BFBFBF" w:sz="1"/>
              <w:right w:val="single" w:color="BFBFBF" w:sz="1"/>
            </w:tcBorders>
            <w:shd w:fill="F2F2F2" w:val="clear"/>
            <w:tcMar>
              <w:top w:type="dxa" w:w="80"/>
              <w:left w:type="dxa" w:w="160"/>
              <w:bottom w:type="dxa" w:w="80"/>
              <w:right w:type="dxa" w:w="160"/>
            </w:tcMar>
          </w:tcPr>
          <w:p>
            <w:r>
              <w:rPr>
                <w:rFonts w:ascii="Arial" w:cs="Arial" w:eastAsia="Arial" w:hAnsi="Arial"/>
                <w:b/>
                <w:bCs/>
                <w:color w:val="333333"/>
                <w:sz w:val="18"/>
                <w:szCs w:val="18"/>
              </w:rPr>
              <w:t xml:space="preserve">SMARTnership reframe</w:t>
            </w:r>
          </w:p>
        </w:tc>
        <w:tc>
          <w:tcPr>
            <w:tcW w:type="dxa" w:w="7200"/>
            <w:tcBorders>
              <w:top w:val="single" w:color="BFBFBF" w:sz="1"/>
              <w:left w:val="single" w:color="BFBFBF" w:sz="1"/>
              <w:bottom w:val="single" w:color="BFBFBF" w:sz="1"/>
              <w:right w:val="single" w:color="BFBFBF" w:sz="1"/>
            </w:tcBorders>
            <w:shd w:fill="EBF1DE" w:val="clear"/>
            <w:tcMar>
              <w:top w:type="dxa" w:w="80"/>
              <w:left w:type="dxa" w:w="160"/>
              <w:bottom w:type="dxa" w:w="80"/>
              <w:right w:type="dxa" w:w="160"/>
            </w:tcMar>
          </w:tcPr>
          <w:p>
            <w:r>
              <w:rPr>
                <w:rFonts w:ascii="Arial" w:cs="Arial" w:eastAsia="Arial" w:hAnsi="Arial"/>
                <w:color w:val="333333"/>
                <w:sz w:val="18"/>
                <w:szCs w:val="18"/>
              </w:rPr>
              <w:t xml:space="preserve">Equalize the notice periods (180/180 or 270/270) and instead address the underlying concern directly: create a joint Transition Protocol that defines exactly how both parties wind down — inventory ownership, IP handover, customer notification, and transition support. Equal notice periods signal mutual respect; the protocol addresses the real operational concern.</w:t>
            </w:r>
          </w:p>
        </w:tc>
      </w:tr>
    </w:tbl>
    <w:p>
      <w:pPr>
        <w:spacing w:after="0" w:before="120"/>
      </w:pPr>
    </w:p>
    <w:p>
      <w:pPr>
        <w:shd w:fill="1F3864" w:val="clear"/>
        <w:spacing w:after="0" w:before="380"/>
        <w:ind w:left="160" w:right="160"/>
      </w:pPr>
      <w:r>
        <w:rPr>
          <w:rFonts w:ascii="Arial" w:cs="Arial" w:eastAsia="Arial" w:hAnsi="Arial"/>
          <w:b/>
          <w:bCs/>
          <w:color w:val="FFFFFF"/>
          <w:sz w:val="26"/>
          <w:szCs w:val="26"/>
        </w:rPr>
        <w:t xml:space="preserve">7 · RELATIONSHIP GOVERNANCE (§61–63, §88)</w:t>
      </w:r>
    </w:p>
    <w:p>
      <w:pPr>
        <w:spacing w:after="0" w:before="160"/>
      </w:pPr>
    </w:p>
    <w:p>
      <w:pPr>
        <w:pBdr>
          <w:bottom w:val="single" w:color="2E75B6" w:sz="6" w:space="1"/>
        </w:pBdr>
        <w:spacing w:after="80" w:before="260"/>
      </w:pPr>
      <w:r>
        <w:rPr>
          <w:rFonts w:ascii="Arial" w:cs="Arial" w:eastAsia="Arial" w:hAnsi="Arial"/>
          <w:b/>
          <w:bCs/>
          <w:color w:val="2E75B6"/>
          <w:sz w:val="22"/>
          <w:szCs w:val="22"/>
        </w:rPr>
        <w:t xml:space="preserve">The Positional Pattern — The Deepest Problem</w:t>
      </w:r>
    </w:p>
    <w:p>
      <w:pPr>
        <w:spacing w:after="60" w:before="60"/>
      </w:pPr>
      <w:r>
        <w:rPr>
          <w:rFonts w:ascii="Arial" w:cs="Arial" w:eastAsia="Arial" w:hAnsi="Arial"/>
          <w:color w:val="595959"/>
          <w:sz w:val="20"/>
          <w:szCs w:val="20"/>
        </w:rPr>
        <w:t xml:space="preserve">Perhaps the most significant positional failure in this contract is structural rather than clause-by-clause: it is designed as a transaction, not a relationship. Section 88 — the final operative clause — says both parties shall cooperate in 'good faith.' This aspiration sits at the end of 87 sections that systematically position the parties against each other. Good faith cannot be bolted onto an adversarial architecture.</w:t>
      </w:r>
    </w:p>
    <w:p>
      <w:pPr>
        <w:spacing w:after="0" w:before="100"/>
      </w:pP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2000"/>
        <w:gridCol w:w="7200"/>
      </w:tblGrid>
      <w:tr>
        <w:tc>
          <w:tcPr>
            <w:tcW w:type="dxa" w:w="9200"/>
            <w:gridSpan w:val="2"/>
            <w:tcBorders>
              <w:top w:val="single" w:color="BFBFBF" w:sz="1"/>
              <w:left w:val="single" w:color="BFBFBF" w:sz="1"/>
              <w:bottom w:val="single" w:color="BFBFBF" w:sz="1"/>
              <w:right w:val="single" w:color="BFBFBF" w:sz="1"/>
            </w:tcBorders>
            <w:shd w:fill="FFF2CC" w:val="clear"/>
            <w:tcMar>
              <w:top w:type="dxa" w:w="80"/>
              <w:left w:type="dxa" w:w="160"/>
              <w:bottom w:type="dxa" w:w="80"/>
              <w:right w:type="dxa" w:w="160"/>
            </w:tcMar>
          </w:tcPr>
          <w:p>
            <w:r>
              <w:rPr>
                <w:rFonts w:ascii="Arial" w:cs="Arial" w:eastAsia="Arial" w:hAnsi="Arial"/>
                <w:b/>
                <w:bCs/>
                <w:color w:val="C9A227"/>
                <w:sz w:val="20"/>
                <w:szCs w:val="20"/>
              </w:rPr>
              <w:t xml:space="preserve">§63  </w:t>
            </w:r>
            <w:r>
              <w:rPr>
                <w:rFonts w:ascii="Arial" w:cs="Arial" w:eastAsia="Arial" w:hAnsi="Arial"/>
                <w:b/>
                <w:bCs/>
                <w:color w:val="222222"/>
                <w:sz w:val="20"/>
                <w:szCs w:val="20"/>
              </w:rPr>
              <w:t xml:space="preserve">Relationship Review — Advisory Only</w:t>
            </w:r>
          </w:p>
        </w:tc>
      </w:tr>
      <w:tr>
        <w:tc>
          <w:tcPr>
            <w:tcW w:type="dxa" w:w="2000"/>
            <w:tcBorders>
              <w:top w:val="single" w:color="BFBFBF" w:sz="1"/>
              <w:left w:val="single" w:color="BFBFBF" w:sz="1"/>
              <w:bottom w:val="single" w:color="BFBFBF" w:sz="1"/>
              <w:right w:val="single" w:color="BFBFBF" w:sz="1"/>
            </w:tcBorders>
            <w:shd w:fill="F2F2F2" w:val="clear"/>
            <w:tcMar>
              <w:top w:type="dxa" w:w="80"/>
              <w:left w:type="dxa" w:w="160"/>
              <w:bottom w:type="dxa" w:w="80"/>
              <w:right w:type="dxa" w:w="160"/>
            </w:tcMar>
          </w:tcPr>
          <w:p>
            <w:r>
              <w:rPr>
                <w:rFonts w:ascii="Arial" w:cs="Arial" w:eastAsia="Arial" w:hAnsi="Arial"/>
                <w:b/>
                <w:bCs/>
                <w:color w:val="333333"/>
                <w:sz w:val="18"/>
                <w:szCs w:val="18"/>
              </w:rPr>
              <w:t xml:space="preserve">What it says</w:t>
            </w:r>
          </w:p>
        </w:tc>
        <w:tc>
          <w:tcPr>
            <w:tcW w:type="dxa" w:w="7200"/>
            <w:tcBorders>
              <w:top w:val="single" w:color="BFBFBF" w:sz="1"/>
              <w:left w:val="single" w:color="BFBFBF" w:sz="1"/>
              <w:bottom w:val="single" w:color="BFBFBF" w:sz="1"/>
              <w:right w:val="single" w:color="BFBFBF" w:sz="1"/>
            </w:tcBorders>
            <w:shd w:fill="FFFFFF" w:val="clear"/>
            <w:tcMar>
              <w:top w:type="dxa" w:w="80"/>
              <w:left w:type="dxa" w:w="160"/>
              <w:bottom w:type="dxa" w:w="80"/>
              <w:right w:type="dxa" w:w="160"/>
            </w:tcMar>
          </w:tcPr>
          <w:p>
            <w:r>
              <w:rPr>
                <w:rFonts w:ascii="Arial" w:cs="Arial" w:eastAsia="Arial" w:hAnsi="Arial"/>
                <w:color w:val="333333"/>
                <w:sz w:val="18"/>
                <w:szCs w:val="18"/>
              </w:rPr>
              <w:t xml:space="preserve">Senior representatives 'may' meet periodically to review performance. Such discussions 'shall not modify contractual obligations unless documented in writing.'</w:t>
            </w:r>
          </w:p>
        </w:tc>
      </w:tr>
      <w:tr>
        <w:tc>
          <w:tcPr>
            <w:tcW w:type="dxa" w:w="2000"/>
            <w:tcBorders>
              <w:top w:val="single" w:color="BFBFBF" w:sz="1"/>
              <w:left w:val="single" w:color="BFBFBF" w:sz="1"/>
              <w:bottom w:val="single" w:color="BFBFBF" w:sz="1"/>
              <w:right w:val="single" w:color="BFBFBF" w:sz="1"/>
            </w:tcBorders>
            <w:shd w:fill="F2F2F2" w:val="clear"/>
            <w:tcMar>
              <w:top w:type="dxa" w:w="80"/>
              <w:left w:type="dxa" w:w="160"/>
              <w:bottom w:type="dxa" w:w="80"/>
              <w:right w:type="dxa" w:w="160"/>
            </w:tcMar>
          </w:tcPr>
          <w:p>
            <w:r>
              <w:rPr>
                <w:rFonts w:ascii="Arial" w:cs="Arial" w:eastAsia="Arial" w:hAnsi="Arial"/>
                <w:b/>
                <w:bCs/>
                <w:color w:val="333333"/>
                <w:sz w:val="18"/>
                <w:szCs w:val="18"/>
              </w:rPr>
              <w:t xml:space="preserve">Why it's positional</w:t>
            </w:r>
          </w:p>
        </w:tc>
        <w:tc>
          <w:tcPr>
            <w:tcW w:type="dxa" w:w="7200"/>
            <w:tcBorders>
              <w:top w:val="single" w:color="BFBFBF" w:sz="1"/>
              <w:left w:val="single" w:color="BFBFBF" w:sz="1"/>
              <w:bottom w:val="single" w:color="BFBFBF" w:sz="1"/>
              <w:right w:val="single" w:color="BFBFBF" w:sz="1"/>
            </w:tcBorders>
            <w:shd w:fill="FFF2CC" w:val="clear"/>
            <w:tcMar>
              <w:top w:type="dxa" w:w="80"/>
              <w:left w:type="dxa" w:w="160"/>
              <w:bottom w:type="dxa" w:w="80"/>
              <w:right w:type="dxa" w:w="160"/>
            </w:tcMar>
          </w:tcPr>
          <w:p>
            <w:r>
              <w:rPr>
                <w:rFonts w:ascii="Arial" w:cs="Arial" w:eastAsia="Arial" w:hAnsi="Arial"/>
                <w:color w:val="333333"/>
                <w:sz w:val="18"/>
                <w:szCs w:val="18"/>
              </w:rPr>
              <w:t xml:space="preserve">The word 'may' is doing enormous work here — and doing it badly. There is no mandatory governance cadence, no joint KPI framework, no escalation structure, and no defined forum for raising strategic concerns before they become disputes. The clause's final sentence — reminding both parties that discussions don't change anything — effectively discourages open dialogue.</w:t>
            </w:r>
          </w:p>
        </w:tc>
      </w:tr>
      <w:tr>
        <w:tc>
          <w:tcPr>
            <w:tcW w:type="dxa" w:w="2000"/>
            <w:tcBorders>
              <w:top w:val="single" w:color="BFBFBF" w:sz="1"/>
              <w:left w:val="single" w:color="BFBFBF" w:sz="1"/>
              <w:bottom w:val="single" w:color="BFBFBF" w:sz="1"/>
              <w:right w:val="single" w:color="BFBFBF" w:sz="1"/>
            </w:tcBorders>
            <w:shd w:fill="F2F2F2" w:val="clear"/>
            <w:tcMar>
              <w:top w:type="dxa" w:w="80"/>
              <w:left w:type="dxa" w:w="160"/>
              <w:bottom w:type="dxa" w:w="80"/>
              <w:right w:type="dxa" w:w="160"/>
            </w:tcMar>
          </w:tcPr>
          <w:p>
            <w:r>
              <w:rPr>
                <w:rFonts w:ascii="Arial" w:cs="Arial" w:eastAsia="Arial" w:hAnsi="Arial"/>
                <w:b/>
                <w:bCs/>
                <w:color w:val="333333"/>
                <w:sz w:val="18"/>
                <w:szCs w:val="18"/>
              </w:rPr>
              <w:t xml:space="preserve">SMARTnership reframe</w:t>
            </w:r>
          </w:p>
        </w:tc>
        <w:tc>
          <w:tcPr>
            <w:tcW w:type="dxa" w:w="7200"/>
            <w:tcBorders>
              <w:top w:val="single" w:color="BFBFBF" w:sz="1"/>
              <w:left w:val="single" w:color="BFBFBF" w:sz="1"/>
              <w:bottom w:val="single" w:color="BFBFBF" w:sz="1"/>
              <w:right w:val="single" w:color="BFBFBF" w:sz="1"/>
            </w:tcBorders>
            <w:shd w:fill="EBF1DE" w:val="clear"/>
            <w:tcMar>
              <w:top w:type="dxa" w:w="80"/>
              <w:left w:type="dxa" w:w="160"/>
              <w:bottom w:type="dxa" w:w="80"/>
              <w:right w:type="dxa" w:w="160"/>
            </w:tcMar>
          </w:tcPr>
          <w:p>
            <w:r>
              <w:rPr>
                <w:rFonts w:ascii="Arial" w:cs="Arial" w:eastAsia="Arial" w:hAnsi="Arial"/>
                <w:color w:val="333333"/>
                <w:sz w:val="18"/>
                <w:szCs w:val="18"/>
              </w:rPr>
              <w:t xml:space="preserve">Replace optional discussions with a structured Relationship Governance Framework: a mandatory quarterly Business Review at operational level, an annual Strategic Partnership Review at executive level, and a defined Joint Innovation Forum. Agreed KPIs — covering quality, delivery, cost, and innovation — are reviewed together, not reported by one party to the other. This is the institutional expression of SMARTnership: structure that makes collaboration the default, not the exception.</w:t>
            </w:r>
          </w:p>
        </w:tc>
      </w:tr>
    </w:tbl>
    <w:p>
      <w:pPr>
        <w:spacing w:after="0" w:before="80"/>
      </w:pP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2000"/>
        <w:gridCol w:w="7200"/>
      </w:tblGrid>
      <w:tr>
        <w:tc>
          <w:tcPr>
            <w:tcW w:type="dxa" w:w="9200"/>
            <w:gridSpan w:val="2"/>
            <w:tcBorders>
              <w:top w:val="single" w:color="BFBFBF" w:sz="1"/>
              <w:left w:val="single" w:color="BFBFBF" w:sz="1"/>
              <w:bottom w:val="single" w:color="BFBFBF" w:sz="1"/>
              <w:right w:val="single" w:color="BFBFBF" w:sz="1"/>
            </w:tcBorders>
            <w:shd w:fill="FFF2CC" w:val="clear"/>
            <w:tcMar>
              <w:top w:type="dxa" w:w="80"/>
              <w:left w:type="dxa" w:w="160"/>
              <w:bottom w:type="dxa" w:w="80"/>
              <w:right w:type="dxa" w:w="160"/>
            </w:tcMar>
          </w:tcPr>
          <w:p>
            <w:r>
              <w:rPr>
                <w:rFonts w:ascii="Arial" w:cs="Arial" w:eastAsia="Arial" w:hAnsi="Arial"/>
                <w:b/>
                <w:bCs/>
                <w:color w:val="C9A227"/>
                <w:sz w:val="20"/>
                <w:szCs w:val="20"/>
              </w:rPr>
              <w:t xml:space="preserve">§64–66  </w:t>
            </w:r>
            <w:r>
              <w:rPr>
                <w:rFonts w:ascii="Arial" w:cs="Arial" w:eastAsia="Arial" w:hAnsi="Arial"/>
                <w:b/>
                <w:bCs/>
                <w:color w:val="222222"/>
                <w:sz w:val="20"/>
                <w:szCs w:val="20"/>
              </w:rPr>
              <w:t xml:space="preserve">Competitive Supply, Non-Exclusivity, and Parallel Development</w:t>
            </w:r>
          </w:p>
        </w:tc>
      </w:tr>
      <w:tr>
        <w:tc>
          <w:tcPr>
            <w:tcW w:type="dxa" w:w="2000"/>
            <w:tcBorders>
              <w:top w:val="single" w:color="BFBFBF" w:sz="1"/>
              <w:left w:val="single" w:color="BFBFBF" w:sz="1"/>
              <w:bottom w:val="single" w:color="BFBFBF" w:sz="1"/>
              <w:right w:val="single" w:color="BFBFBF" w:sz="1"/>
            </w:tcBorders>
            <w:shd w:fill="F2F2F2" w:val="clear"/>
            <w:tcMar>
              <w:top w:type="dxa" w:w="80"/>
              <w:left w:type="dxa" w:w="160"/>
              <w:bottom w:type="dxa" w:w="80"/>
              <w:right w:type="dxa" w:w="160"/>
            </w:tcMar>
          </w:tcPr>
          <w:p>
            <w:r>
              <w:rPr>
                <w:rFonts w:ascii="Arial" w:cs="Arial" w:eastAsia="Arial" w:hAnsi="Arial"/>
                <w:b/>
                <w:bCs/>
                <w:color w:val="333333"/>
                <w:sz w:val="18"/>
                <w:szCs w:val="18"/>
              </w:rPr>
              <w:t xml:space="preserve">What it says</w:t>
            </w:r>
          </w:p>
        </w:tc>
        <w:tc>
          <w:tcPr>
            <w:tcW w:type="dxa" w:w="7200"/>
            <w:tcBorders>
              <w:top w:val="single" w:color="BFBFBF" w:sz="1"/>
              <w:left w:val="single" w:color="BFBFBF" w:sz="1"/>
              <w:bottom w:val="single" w:color="BFBFBF" w:sz="1"/>
              <w:right w:val="single" w:color="BFBFBF" w:sz="1"/>
            </w:tcBorders>
            <w:shd w:fill="FFFFFF" w:val="clear"/>
            <w:tcMar>
              <w:top w:type="dxa" w:w="80"/>
              <w:left w:type="dxa" w:w="160"/>
              <w:bottom w:type="dxa" w:w="80"/>
              <w:right w:type="dxa" w:w="160"/>
            </w:tcMar>
          </w:tcPr>
          <w:p>
            <w:r>
              <w:rPr>
                <w:rFonts w:ascii="Arial" w:cs="Arial" w:eastAsia="Arial" w:hAnsi="Arial"/>
                <w:color w:val="333333"/>
                <w:sz w:val="18"/>
                <w:szCs w:val="18"/>
              </w:rPr>
              <w:t xml:space="preserve">Supplier may supply competitors of Aurora. Aurora may source from Voltatek's competitors. Neither party is restricted from building parallel relationships. Supplier may develop competing technologies.</w:t>
            </w:r>
          </w:p>
        </w:tc>
      </w:tr>
      <w:tr>
        <w:tc>
          <w:tcPr>
            <w:tcW w:type="dxa" w:w="2000"/>
            <w:tcBorders>
              <w:top w:val="single" w:color="BFBFBF" w:sz="1"/>
              <w:left w:val="single" w:color="BFBFBF" w:sz="1"/>
              <w:bottom w:val="single" w:color="BFBFBF" w:sz="1"/>
              <w:right w:val="single" w:color="BFBFBF" w:sz="1"/>
            </w:tcBorders>
            <w:shd w:fill="F2F2F2" w:val="clear"/>
            <w:tcMar>
              <w:top w:type="dxa" w:w="80"/>
              <w:left w:type="dxa" w:w="160"/>
              <w:bottom w:type="dxa" w:w="80"/>
              <w:right w:type="dxa" w:w="160"/>
            </w:tcMar>
          </w:tcPr>
          <w:p>
            <w:r>
              <w:rPr>
                <w:rFonts w:ascii="Arial" w:cs="Arial" w:eastAsia="Arial" w:hAnsi="Arial"/>
                <w:b/>
                <w:bCs/>
                <w:color w:val="333333"/>
                <w:sz w:val="18"/>
                <w:szCs w:val="18"/>
              </w:rPr>
              <w:t xml:space="preserve">Why it's positional</w:t>
            </w:r>
          </w:p>
        </w:tc>
        <w:tc>
          <w:tcPr>
            <w:tcW w:type="dxa" w:w="7200"/>
            <w:tcBorders>
              <w:top w:val="single" w:color="BFBFBF" w:sz="1"/>
              <w:left w:val="single" w:color="BFBFBF" w:sz="1"/>
              <w:bottom w:val="single" w:color="BFBFBF" w:sz="1"/>
              <w:right w:val="single" w:color="BFBFBF" w:sz="1"/>
            </w:tcBorders>
            <w:shd w:fill="FFF2CC" w:val="clear"/>
            <w:tcMar>
              <w:top w:type="dxa" w:w="80"/>
              <w:left w:type="dxa" w:w="160"/>
              <w:bottom w:type="dxa" w:w="80"/>
              <w:right w:type="dxa" w:w="160"/>
            </w:tcMar>
          </w:tcPr>
          <w:p>
            <w:r>
              <w:rPr>
                <w:rFonts w:ascii="Arial" w:cs="Arial" w:eastAsia="Arial" w:hAnsi="Arial"/>
                <w:color w:val="333333"/>
                <w:sz w:val="18"/>
                <w:szCs w:val="18"/>
              </w:rPr>
              <w:t xml:space="preserve">These clauses are legally standard but strategically destructive when taken together. They signal that both parties anticipate the relationship may not work — so each preserves maximum optionality to exit or hedge. The result is that neither party has structural incentive to invest deeply in the relationship. Supplier won't share its best technology exclusively with Aurora if Aurora is simultaneously qualifying alternative suppliers.</w:t>
            </w:r>
          </w:p>
        </w:tc>
      </w:tr>
      <w:tr>
        <w:tc>
          <w:tcPr>
            <w:tcW w:type="dxa" w:w="2000"/>
            <w:tcBorders>
              <w:top w:val="single" w:color="BFBFBF" w:sz="1"/>
              <w:left w:val="single" w:color="BFBFBF" w:sz="1"/>
              <w:bottom w:val="single" w:color="BFBFBF" w:sz="1"/>
              <w:right w:val="single" w:color="BFBFBF" w:sz="1"/>
            </w:tcBorders>
            <w:shd w:fill="F2F2F2" w:val="clear"/>
            <w:tcMar>
              <w:top w:type="dxa" w:w="80"/>
              <w:left w:type="dxa" w:w="160"/>
              <w:bottom w:type="dxa" w:w="80"/>
              <w:right w:type="dxa" w:w="160"/>
            </w:tcMar>
          </w:tcPr>
          <w:p>
            <w:r>
              <w:rPr>
                <w:rFonts w:ascii="Arial" w:cs="Arial" w:eastAsia="Arial" w:hAnsi="Arial"/>
                <w:b/>
                <w:bCs/>
                <w:color w:val="333333"/>
                <w:sz w:val="18"/>
                <w:szCs w:val="18"/>
              </w:rPr>
              <w:t xml:space="preserve">SMARTnership reframe</w:t>
            </w:r>
          </w:p>
        </w:tc>
        <w:tc>
          <w:tcPr>
            <w:tcW w:type="dxa" w:w="7200"/>
            <w:tcBorders>
              <w:top w:val="single" w:color="BFBFBF" w:sz="1"/>
              <w:left w:val="single" w:color="BFBFBF" w:sz="1"/>
              <w:bottom w:val="single" w:color="BFBFBF" w:sz="1"/>
              <w:right w:val="single" w:color="BFBFBF" w:sz="1"/>
            </w:tcBorders>
            <w:shd w:fill="EBF1DE" w:val="clear"/>
            <w:tcMar>
              <w:top w:type="dxa" w:w="80"/>
              <w:left w:type="dxa" w:w="160"/>
              <w:bottom w:type="dxa" w:w="80"/>
              <w:right w:type="dxa" w:w="160"/>
            </w:tcMar>
          </w:tcPr>
          <w:p>
            <w:r>
              <w:rPr>
                <w:rFonts w:ascii="Arial" w:cs="Arial" w:eastAsia="Arial" w:hAnsi="Arial"/>
                <w:color w:val="333333"/>
                <w:sz w:val="18"/>
                <w:szCs w:val="18"/>
              </w:rPr>
              <w:t xml:space="preserve">Introduce a Strategic Partnership Tier: a defined set of mutual commitments that activate if both parties reach agreed performance milestones — e.g., exclusivity on next-generation battery chemistries in exchange for Aurora's volume commitment above a threshold. This creates a value corridor: the more both parties invest, the more protection and upside they access. Competitive hedging becomes less rational when the partnership itself generates superior returns.</w:t>
            </w:r>
          </w:p>
        </w:tc>
      </w:tr>
    </w:tbl>
    <w:p>
      <w:pPr>
        <w:spacing w:after="0" w:before="120"/>
      </w:pPr>
    </w:p>
    <w:p>
      <w:pPr>
        <w:shd w:fill="1F3864" w:val="clear"/>
        <w:spacing w:after="0" w:before="380"/>
        <w:ind w:left="160" w:right="160"/>
      </w:pPr>
      <w:r>
        <w:rPr>
          <w:rFonts w:ascii="Arial" w:cs="Arial" w:eastAsia="Arial" w:hAnsi="Arial"/>
          <w:b/>
          <w:bCs/>
          <w:color w:val="FFFFFF"/>
          <w:sz w:val="26"/>
          <w:szCs w:val="26"/>
        </w:rPr>
        <w:t xml:space="preserve">8 · TECHNOLOGY DEVELOPMENT &amp; INTELLECTUAL PROPERTY (§57–59, §67–68)</w:t>
      </w:r>
    </w:p>
    <w:p>
      <w:pPr>
        <w:spacing w:after="0" w:before="160"/>
      </w:pP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2000"/>
        <w:gridCol w:w="7200"/>
      </w:tblGrid>
      <w:tr>
        <w:tc>
          <w:tcPr>
            <w:tcW w:type="dxa" w:w="9200"/>
            <w:gridSpan w:val="2"/>
            <w:tcBorders>
              <w:top w:val="single" w:color="BFBFBF" w:sz="1"/>
              <w:left w:val="single" w:color="BFBFBF" w:sz="1"/>
              <w:bottom w:val="single" w:color="BFBFBF" w:sz="1"/>
              <w:right w:val="single" w:color="BFBFBF" w:sz="1"/>
            </w:tcBorders>
            <w:shd w:fill="FFF2CC" w:val="clear"/>
            <w:tcMar>
              <w:top w:type="dxa" w:w="80"/>
              <w:left w:type="dxa" w:w="160"/>
              <w:bottom w:type="dxa" w:w="80"/>
              <w:right w:type="dxa" w:w="160"/>
            </w:tcMar>
          </w:tcPr>
          <w:p>
            <w:r>
              <w:rPr>
                <w:rFonts w:ascii="Arial" w:cs="Arial" w:eastAsia="Arial" w:hAnsi="Arial"/>
                <w:b/>
                <w:bCs/>
                <w:color w:val="C9A227"/>
                <w:sz w:val="20"/>
                <w:szCs w:val="20"/>
              </w:rPr>
              <w:t xml:space="preserve">§57–59 / §67  </w:t>
            </w:r>
            <w:r>
              <w:rPr>
                <w:rFonts w:ascii="Arial" w:cs="Arial" w:eastAsia="Arial" w:hAnsi="Arial"/>
                <w:b/>
                <w:bCs/>
                <w:color w:val="222222"/>
                <w:sz w:val="20"/>
                <w:szCs w:val="20"/>
              </w:rPr>
              <w:t xml:space="preserve">Technology Innovation — All Upside to Supplier</w:t>
            </w:r>
          </w:p>
        </w:tc>
      </w:tr>
      <w:tr>
        <w:tc>
          <w:tcPr>
            <w:tcW w:type="dxa" w:w="2000"/>
            <w:tcBorders>
              <w:top w:val="single" w:color="BFBFBF" w:sz="1"/>
              <w:left w:val="single" w:color="BFBFBF" w:sz="1"/>
              <w:bottom w:val="single" w:color="BFBFBF" w:sz="1"/>
              <w:right w:val="single" w:color="BFBFBF" w:sz="1"/>
            </w:tcBorders>
            <w:shd w:fill="F2F2F2" w:val="clear"/>
            <w:tcMar>
              <w:top w:type="dxa" w:w="80"/>
              <w:left w:type="dxa" w:w="160"/>
              <w:bottom w:type="dxa" w:w="80"/>
              <w:right w:type="dxa" w:w="160"/>
            </w:tcMar>
          </w:tcPr>
          <w:p>
            <w:r>
              <w:rPr>
                <w:rFonts w:ascii="Arial" w:cs="Arial" w:eastAsia="Arial" w:hAnsi="Arial"/>
                <w:b/>
                <w:bCs/>
                <w:color w:val="333333"/>
                <w:sz w:val="18"/>
                <w:szCs w:val="18"/>
              </w:rPr>
              <w:t xml:space="preserve">What it says</w:t>
            </w:r>
          </w:p>
        </w:tc>
        <w:tc>
          <w:tcPr>
            <w:tcW w:type="dxa" w:w="7200"/>
            <w:tcBorders>
              <w:top w:val="single" w:color="BFBFBF" w:sz="1"/>
              <w:left w:val="single" w:color="BFBFBF" w:sz="1"/>
              <w:bottom w:val="single" w:color="BFBFBF" w:sz="1"/>
              <w:right w:val="single" w:color="BFBFBF" w:sz="1"/>
            </w:tcBorders>
            <w:shd w:fill="FFFFFF" w:val="clear"/>
            <w:tcMar>
              <w:top w:type="dxa" w:w="80"/>
              <w:left w:type="dxa" w:w="160"/>
              <w:bottom w:type="dxa" w:w="80"/>
              <w:right w:type="dxa" w:w="160"/>
            </w:tcMar>
          </w:tcPr>
          <w:p>
            <w:r>
              <w:rPr>
                <w:rFonts w:ascii="Arial" w:cs="Arial" w:eastAsia="Arial" w:hAnsi="Arial"/>
                <w:color w:val="333333"/>
                <w:sz w:val="18"/>
                <w:szCs w:val="18"/>
              </w:rPr>
              <w:t xml:space="preserve">Supplier may develop battery improvements independently. Supplier retains all ownership. Improvements are offered to Buyer 'subject to mutually agreed commercial terms.' Jointly developed IP is addressed by future agreement.</w:t>
            </w:r>
          </w:p>
        </w:tc>
      </w:tr>
      <w:tr>
        <w:tc>
          <w:tcPr>
            <w:tcW w:type="dxa" w:w="2000"/>
            <w:tcBorders>
              <w:top w:val="single" w:color="BFBFBF" w:sz="1"/>
              <w:left w:val="single" w:color="BFBFBF" w:sz="1"/>
              <w:bottom w:val="single" w:color="BFBFBF" w:sz="1"/>
              <w:right w:val="single" w:color="BFBFBF" w:sz="1"/>
            </w:tcBorders>
            <w:shd w:fill="F2F2F2" w:val="clear"/>
            <w:tcMar>
              <w:top w:type="dxa" w:w="80"/>
              <w:left w:type="dxa" w:w="160"/>
              <w:bottom w:type="dxa" w:w="80"/>
              <w:right w:type="dxa" w:w="160"/>
            </w:tcMar>
          </w:tcPr>
          <w:p>
            <w:r>
              <w:rPr>
                <w:rFonts w:ascii="Arial" w:cs="Arial" w:eastAsia="Arial" w:hAnsi="Arial"/>
                <w:b/>
                <w:bCs/>
                <w:color w:val="333333"/>
                <w:sz w:val="18"/>
                <w:szCs w:val="18"/>
              </w:rPr>
              <w:t xml:space="preserve">Why it's positional</w:t>
            </w:r>
          </w:p>
        </w:tc>
        <w:tc>
          <w:tcPr>
            <w:tcW w:type="dxa" w:w="7200"/>
            <w:tcBorders>
              <w:top w:val="single" w:color="BFBFBF" w:sz="1"/>
              <w:left w:val="single" w:color="BFBFBF" w:sz="1"/>
              <w:bottom w:val="single" w:color="BFBFBF" w:sz="1"/>
              <w:right w:val="single" w:color="BFBFBF" w:sz="1"/>
            </w:tcBorders>
            <w:shd w:fill="FFF2CC" w:val="clear"/>
            <w:tcMar>
              <w:top w:type="dxa" w:w="80"/>
              <w:left w:type="dxa" w:w="160"/>
              <w:bottom w:type="dxa" w:w="80"/>
              <w:right w:type="dxa" w:w="160"/>
            </w:tcMar>
          </w:tcPr>
          <w:p>
            <w:r>
              <w:rPr>
                <w:rFonts w:ascii="Arial" w:cs="Arial" w:eastAsia="Arial" w:hAnsi="Arial"/>
                <w:color w:val="333333"/>
                <w:sz w:val="18"/>
                <w:szCs w:val="18"/>
              </w:rPr>
              <w:t xml:space="preserve">The technology clauses are a masterclass in positional IP protection — everything Supplier creates belongs to Supplier; everything Aurora might co-develop is subject to a future negotiation that hasn't happened yet. Aurora has no pre-agreed right of first access to next-generation technology it may have contributed to — through volume commitments, technical specifications, field performance data, or co-development investment.</w:t>
            </w:r>
          </w:p>
        </w:tc>
      </w:tr>
      <w:tr>
        <w:tc>
          <w:tcPr>
            <w:tcW w:type="dxa" w:w="2000"/>
            <w:tcBorders>
              <w:top w:val="single" w:color="BFBFBF" w:sz="1"/>
              <w:left w:val="single" w:color="BFBFBF" w:sz="1"/>
              <w:bottom w:val="single" w:color="BFBFBF" w:sz="1"/>
              <w:right w:val="single" w:color="BFBFBF" w:sz="1"/>
            </w:tcBorders>
            <w:shd w:fill="F2F2F2" w:val="clear"/>
            <w:tcMar>
              <w:top w:type="dxa" w:w="80"/>
              <w:left w:type="dxa" w:w="160"/>
              <w:bottom w:type="dxa" w:w="80"/>
              <w:right w:type="dxa" w:w="160"/>
            </w:tcMar>
          </w:tcPr>
          <w:p>
            <w:r>
              <w:rPr>
                <w:rFonts w:ascii="Arial" w:cs="Arial" w:eastAsia="Arial" w:hAnsi="Arial"/>
                <w:b/>
                <w:bCs/>
                <w:color w:val="333333"/>
                <w:sz w:val="18"/>
                <w:szCs w:val="18"/>
              </w:rPr>
              <w:t xml:space="preserve">SMARTnership reframe</w:t>
            </w:r>
          </w:p>
        </w:tc>
        <w:tc>
          <w:tcPr>
            <w:tcW w:type="dxa" w:w="7200"/>
            <w:tcBorders>
              <w:top w:val="single" w:color="BFBFBF" w:sz="1"/>
              <w:left w:val="single" w:color="BFBFBF" w:sz="1"/>
              <w:bottom w:val="single" w:color="BFBFBF" w:sz="1"/>
              <w:right w:val="single" w:color="BFBFBF" w:sz="1"/>
            </w:tcBorders>
            <w:shd w:fill="EBF1DE" w:val="clear"/>
            <w:tcMar>
              <w:top w:type="dxa" w:w="80"/>
              <w:left w:type="dxa" w:w="160"/>
              <w:bottom w:type="dxa" w:w="80"/>
              <w:right w:type="dxa" w:w="160"/>
            </w:tcMar>
          </w:tcPr>
          <w:p>
            <w:r>
              <w:rPr>
                <w:rFonts w:ascii="Arial" w:cs="Arial" w:eastAsia="Arial" w:hAnsi="Arial"/>
                <w:color w:val="333333"/>
                <w:sz w:val="18"/>
                <w:szCs w:val="18"/>
              </w:rPr>
              <w:t xml:space="preserve">Create a Technology Roadmap Partnership: a joint 3-year technology roadmap with defined investment contributions from both parties. Establish pre-agreed IP ownership rules for different contribution scenarios. Aurora's exclusive or preferred access to next-gen battery technology becomes a competitive advantage — in exchange for which Voltatek gets development funding, field data, and a committed launch customer. This is value that neither party can create alone.</w:t>
            </w:r>
          </w:p>
        </w:tc>
      </w:tr>
    </w:tbl>
    <w:p>
      <w:pPr>
        <w:spacing w:after="0" w:before="120"/>
      </w:pPr>
    </w:p>
    <w:p>
      <w:pPr>
        <w:shd w:fill="1F3864" w:val="clear"/>
        <w:spacing w:after="0" w:before="380"/>
        <w:ind w:left="160" w:right="160"/>
      </w:pPr>
      <w:r>
        <w:rPr>
          <w:rFonts w:ascii="Arial" w:cs="Arial" w:eastAsia="Arial" w:hAnsi="Arial"/>
          <w:b/>
          <w:bCs/>
          <w:color w:val="FFFFFF"/>
          <w:sz w:val="26"/>
          <w:szCs w:val="26"/>
        </w:rPr>
        <w:t xml:space="preserve">STRATEGIC SUMMARY: FROM TRANSACTION TO PARTNERSHIP</w:t>
      </w:r>
    </w:p>
    <w:p>
      <w:pPr>
        <w:spacing w:after="0" w:before="160"/>
      </w:pPr>
    </w:p>
    <w:p>
      <w:pPr>
        <w:pBdr>
          <w:bottom w:val="single" w:color="2E75B6" w:sz="6" w:space="1"/>
        </w:pBdr>
        <w:spacing w:after="80" w:before="260"/>
      </w:pPr>
      <w:r>
        <w:rPr>
          <w:rFonts w:ascii="Arial" w:cs="Arial" w:eastAsia="Arial" w:hAnsi="Arial"/>
          <w:b/>
          <w:bCs/>
          <w:color w:val="2E75B6"/>
          <w:sz w:val="22"/>
          <w:szCs w:val="22"/>
        </w:rPr>
        <w:t xml:space="preserve">The Central Tension</w:t>
      </w:r>
    </w:p>
    <w:p>
      <w:pPr>
        <w:spacing w:after="60" w:before="60"/>
      </w:pPr>
      <w:r>
        <w:rPr>
          <w:rFonts w:ascii="Arial" w:cs="Arial" w:eastAsia="Arial" w:hAnsi="Arial"/>
          <w:color w:val="595959"/>
          <w:sz w:val="20"/>
          <w:szCs w:val="20"/>
        </w:rPr>
        <w:t xml:space="preserve">This contract describes a USD 400M, 3-year relationship in which both companies' core business outcomes depend on each other's performance. Aurora's vehicle production depends entirely on Voltatek's manufacturing reliability. Voltatek's growth depends entirely on Aurora's volume commitments.</w:t>
      </w:r>
    </w:p>
    <w:p>
      <w:pPr>
        <w:spacing w:after="0" w:before="60"/>
      </w:pPr>
    </w:p>
    <w:p>
      <w:pPr>
        <w:spacing w:after="60" w:before="60"/>
      </w:pPr>
      <w:r>
        <w:rPr>
          <w:rFonts w:ascii="Arial" w:cs="Arial" w:eastAsia="Arial" w:hAnsi="Arial"/>
          <w:color w:val="595959"/>
          <w:sz w:val="20"/>
          <w:szCs w:val="20"/>
        </w:rPr>
        <w:t xml:space="preserve">Yet the contract is written as if both parties expect the other to perform the minimum required and extract maximum advantage wherever possible. Every protection clause, every unilateral right, every asymmetric obligation is a signal: 'I do not fully trust you, so I am protecting myself.'</w:t>
      </w:r>
    </w:p>
    <w:p>
      <w:pPr>
        <w:spacing w:after="0" w:before="60"/>
      </w:pPr>
    </w:p>
    <w:p>
      <w:pPr>
        <w:spacing w:after="60" w:before="60"/>
      </w:pPr>
      <w:r>
        <w:rPr>
          <w:rFonts w:ascii="Arial" w:cs="Arial" w:eastAsia="Arial" w:hAnsi="Arial"/>
          <w:color w:val="595959"/>
          <w:sz w:val="20"/>
          <w:szCs w:val="20"/>
        </w:rPr>
        <w:t xml:space="preserve">SMARTnership asks a different question: if both parties trusted the structure — not just each other personally — what would they be willing to commit to?</w:t>
      </w:r>
    </w:p>
    <w:p>
      <w:pPr>
        <w:spacing w:after="0" w:before="100"/>
      </w:pPr>
    </w:p>
    <w:p>
      <w:pPr>
        <w:pBdr>
          <w:bottom w:val="single" w:color="2E75B6" w:sz="6" w:space="1"/>
        </w:pBdr>
        <w:spacing w:after="80" w:before="260"/>
      </w:pPr>
      <w:r>
        <w:rPr>
          <w:rFonts w:ascii="Arial" w:cs="Arial" w:eastAsia="Arial" w:hAnsi="Arial"/>
          <w:b/>
          <w:bCs/>
          <w:color w:val="2E75B6"/>
          <w:sz w:val="22"/>
          <w:szCs w:val="22"/>
        </w:rPr>
        <w:t xml:space="preserve">The Five Priority Renegotiation Areas</w:t>
      </w:r>
    </w:p>
    <w:p>
      <w:pPr>
        <w:pStyle w:val="ListParagraph"/>
        <w:numPr>
          <w:ilvl w:val="0"/>
          <w:numId w:val="2"/>
        </w:numPr>
        <w:spacing w:after="40" w:before="40"/>
      </w:pPr>
      <w:r>
        <w:rPr>
          <w:rFonts w:ascii="Arial" w:cs="Arial" w:eastAsia="Arial" w:hAnsi="Arial"/>
          <w:b w:val="false"/>
          <w:bCs w:val="false"/>
          <w:color w:val="595959"/>
          <w:sz w:val="20"/>
          <w:szCs w:val="20"/>
        </w:rPr>
        <w:t xml:space="preserve">Volume commitment: Introduce a minimum purchase floor and a risk corridor — replacing zero-guarantee exposure with shared commercial responsibility.</w:t>
      </w:r>
    </w:p>
    <w:p>
      <w:pPr>
        <w:pStyle w:val="ListParagraph"/>
        <w:numPr>
          <w:ilvl w:val="0"/>
          <w:numId w:val="2"/>
        </w:numPr>
        <w:spacing w:after="40" w:before="40"/>
      </w:pPr>
      <w:r>
        <w:rPr>
          <w:rFonts w:ascii="Arial" w:cs="Arial" w:eastAsia="Arial" w:hAnsi="Arial"/>
          <w:b w:val="false"/>
          <w:bCs w:val="false"/>
          <w:color w:val="595959"/>
          <w:sz w:val="20"/>
          <w:szCs w:val="20"/>
        </w:rPr>
        <w:t xml:space="preserve">Gain-share on efficiency: Create a contractual mechanism to share productivity improvements — aligning both parties behind the same operational goals.</w:t>
      </w:r>
    </w:p>
    <w:p>
      <w:pPr>
        <w:pStyle w:val="ListParagraph"/>
        <w:numPr>
          <w:ilvl w:val="0"/>
          <w:numId w:val="2"/>
        </w:numPr>
        <w:spacing w:after="40" w:before="40"/>
      </w:pPr>
      <w:r>
        <w:rPr>
          <w:rFonts w:ascii="Arial" w:cs="Arial" w:eastAsia="Arial" w:hAnsi="Arial"/>
          <w:b w:val="false"/>
          <w:bCs w:val="false"/>
          <w:color w:val="595959"/>
          <w:sz w:val="20"/>
          <w:szCs w:val="20"/>
        </w:rPr>
        <w:t xml:space="preserve">Relationship governance: Install mandatory joint governance — quarterly operational reviews, annual strategic reviews, a joint innovation forum — making collaboration structural, not aspirational.</w:t>
      </w:r>
    </w:p>
    <w:p>
      <w:pPr>
        <w:pStyle w:val="ListParagraph"/>
        <w:numPr>
          <w:ilvl w:val="0"/>
          <w:numId w:val="2"/>
        </w:numPr>
        <w:spacing w:after="40" w:before="40"/>
      </w:pPr>
      <w:r>
        <w:rPr>
          <w:rFonts w:ascii="Arial" w:cs="Arial" w:eastAsia="Arial" w:hAnsi="Arial"/>
          <w:b w:val="false"/>
          <w:bCs w:val="false"/>
          <w:color w:val="595959"/>
          <w:sz w:val="20"/>
          <w:szCs w:val="20"/>
        </w:rPr>
        <w:t xml:space="preserve">Quality partnership: Replace the audit-and-penalty model with a Joint Quality Council, shared data visibility, and improvement roadmaps with aligned incentives.</w:t>
      </w:r>
    </w:p>
    <w:p>
      <w:pPr>
        <w:pStyle w:val="ListParagraph"/>
        <w:numPr>
          <w:ilvl w:val="0"/>
          <w:numId w:val="2"/>
        </w:numPr>
        <w:spacing w:after="40" w:before="40"/>
      </w:pPr>
      <w:r>
        <w:rPr>
          <w:rFonts w:ascii="Arial" w:cs="Arial" w:eastAsia="Arial" w:hAnsi="Arial"/>
          <w:b w:val="false"/>
          <w:bCs w:val="false"/>
          <w:color w:val="595959"/>
          <w:sz w:val="20"/>
          <w:szCs w:val="20"/>
        </w:rPr>
        <w:t xml:space="preserve">Technology access: Negotiate pre-agreed preferred access rights for Aurora to Voltatek's next-generation battery developments, in exchange for Aurora's volume and co-development commitments.</w:t>
      </w:r>
    </w:p>
    <w:p>
      <w:pPr>
        <w:spacing w:after="0" w:before="100"/>
      </w:pPr>
    </w:p>
    <w:p>
      <w:pPr>
        <w:pBdr>
          <w:bottom w:val="single" w:color="2E75B6" w:sz="6" w:space="1"/>
        </w:pBdr>
        <w:spacing w:after="80" w:before="260"/>
      </w:pPr>
      <w:r>
        <w:rPr>
          <w:rFonts w:ascii="Arial" w:cs="Arial" w:eastAsia="Arial" w:hAnsi="Arial"/>
          <w:b/>
          <w:bCs/>
          <w:color w:val="2E75B6"/>
          <w:sz w:val="22"/>
          <w:szCs w:val="22"/>
        </w:rPr>
        <w:t xml:space="preserve">The SMARTnership Invitation</w:t>
      </w:r>
    </w:p>
    <w:p>
      <w:pPr>
        <w:spacing w:after="60" w:before="60"/>
      </w:pPr>
      <w:r>
        <w:rPr>
          <w:rFonts w:ascii="Arial" w:cs="Arial" w:eastAsia="Arial" w:hAnsi="Arial"/>
          <w:color w:val="595959"/>
          <w:sz w:val="20"/>
          <w:szCs w:val="20"/>
        </w:rPr>
        <w:t xml:space="preserve">A contract negotiation is itself a negotiation — and the way parties negotiate their contract signals how they will behave inside it. If Aurora and Voltatek approach renegotiation as an opportunity to co-design a structure that makes both companies more successful, they will signal something profound: that this is not a vendor relationship, but a strategic partnership.</w:t>
      </w:r>
    </w:p>
    <w:p>
      <w:pPr>
        <w:spacing w:after="0" w:before="60"/>
      </w:pPr>
    </w:p>
    <w:p>
      <w:pPr>
        <w:spacing w:after="60" w:before="60"/>
      </w:pPr>
      <w:r>
        <w:rPr>
          <w:rFonts w:ascii="Arial" w:cs="Arial" w:eastAsia="Arial" w:hAnsi="Arial"/>
          <w:color w:val="595959"/>
          <w:sz w:val="20"/>
          <w:szCs w:val="20"/>
        </w:rPr>
        <w:t xml:space="preserve">That signal — and the structural changes that back it up — is the foundation of the SMARTnership Third Road.</w:t>
      </w:r>
    </w:p>
    <w:p>
      <w:pPr>
        <w:spacing w:after="0" w:before="160"/>
      </w:pPr>
    </w:p>
    <w:p>
      <w:pPr>
        <w:pBdr>
          <w:top w:val="single" w:color="CCCCCC" w:sz="4"/>
        </w:pBdr>
        <w:spacing w:after="0" w:before="200"/>
        <w:jc w:val="center"/>
      </w:pPr>
      <w:r>
        <w:rPr>
          <w:rFonts w:ascii="Arial" w:cs="Arial" w:eastAsia="Arial" w:hAnsi="Arial"/>
          <w:i/>
          <w:iCs/>
          <w:color w:val="999999"/>
          <w:sz w:val="16"/>
          <w:szCs w:val="16"/>
        </w:rPr>
        <w:t xml:space="preserve">Prepared using the SMARTnership Negotiation Framework. This analysis identifies value creation opportunities and does not constitute legal advice.</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30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2026-03-11T03:04:27.000Z</dcterms:created>
  <dcterms:modified xsi:type="dcterms:W3CDTF">2026-03-11T03:04:27.001Z</dcterms:modified>
</cp:coreProperties>
</file>

<file path=docProps/custom.xml><?xml version="1.0" encoding="utf-8"?>
<Properties xmlns="http://schemas.openxmlformats.org/officeDocument/2006/custom-properties" xmlns:vt="http://schemas.openxmlformats.org/officeDocument/2006/docPropsVTypes"/>
</file>